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9B2D7" w14:textId="681D58CD"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b/>
          <w:sz w:val="24"/>
          <w:szCs w:val="24"/>
        </w:rPr>
      </w:pPr>
      <w:r w:rsidRPr="00F74653">
        <w:rPr>
          <w:rFonts w:ascii="Bookman Old Style" w:eastAsia="Times New Roman" w:hAnsi="Bookman Old Style" w:cs="Times New Roman"/>
          <w:b/>
          <w:sz w:val="24"/>
          <w:szCs w:val="24"/>
        </w:rPr>
        <w:t>PRESS STATEMENT BY THE HUMAN RIGHTS COMMISSION CHAIRPERSON, DR PAMELA TOWELA SAMBO, ON THE OUTCOME OF THE CASES REVIEW MEETING AND THE STATE OF HUMAN RIGHTS PRE</w:t>
      </w:r>
      <w:r w:rsidR="00145950">
        <w:rPr>
          <w:rFonts w:ascii="Bookman Old Style" w:eastAsia="Times New Roman" w:hAnsi="Bookman Old Style" w:cs="Times New Roman"/>
          <w:b/>
          <w:sz w:val="24"/>
          <w:szCs w:val="24"/>
        </w:rPr>
        <w:t xml:space="preserve"> </w:t>
      </w:r>
      <w:proofErr w:type="gramStart"/>
      <w:r w:rsidR="00145950">
        <w:rPr>
          <w:rFonts w:ascii="Bookman Old Style" w:eastAsia="Times New Roman" w:hAnsi="Bookman Old Style" w:cs="Times New Roman"/>
          <w:b/>
          <w:sz w:val="24"/>
          <w:szCs w:val="24"/>
        </w:rPr>
        <w:t xml:space="preserve">- </w:t>
      </w:r>
      <w:r w:rsidR="00A635DE">
        <w:rPr>
          <w:rFonts w:ascii="Bookman Old Style" w:eastAsia="Times New Roman" w:hAnsi="Bookman Old Style" w:cs="Times New Roman"/>
          <w:b/>
          <w:sz w:val="24"/>
          <w:szCs w:val="24"/>
        </w:rPr>
        <w:t xml:space="preserve"> GENERAL</w:t>
      </w:r>
      <w:proofErr w:type="gramEnd"/>
      <w:r w:rsidR="00A635DE">
        <w:rPr>
          <w:rFonts w:ascii="Bookman Old Style" w:eastAsia="Times New Roman" w:hAnsi="Bookman Old Style" w:cs="Times New Roman"/>
          <w:b/>
          <w:sz w:val="24"/>
          <w:szCs w:val="24"/>
        </w:rPr>
        <w:t xml:space="preserve"> ELECTIONS</w:t>
      </w:r>
      <w:r w:rsidR="00145950">
        <w:rPr>
          <w:rFonts w:ascii="Bookman Old Style" w:eastAsia="Times New Roman" w:hAnsi="Bookman Old Style" w:cs="Times New Roman"/>
          <w:b/>
          <w:sz w:val="24"/>
          <w:szCs w:val="24"/>
        </w:rPr>
        <w:t xml:space="preserve"> 2026</w:t>
      </w:r>
    </w:p>
    <w:p w14:paraId="67FEC60F" w14:textId="77777777" w:rsidR="000556A9" w:rsidRPr="00F74653" w:rsidRDefault="000556A9" w:rsidP="007052B7">
      <w:pPr>
        <w:pStyle w:val="NormalWeb"/>
        <w:spacing w:line="276" w:lineRule="auto"/>
        <w:rPr>
          <w:rFonts w:ascii="Bookman Old Style" w:hAnsi="Bookman Old Style"/>
          <w:lang w:val="en-US"/>
        </w:rPr>
      </w:pPr>
      <w:r w:rsidRPr="00F74653">
        <w:rPr>
          <w:rFonts w:ascii="Bookman Old Style" w:hAnsi="Bookman Old Style"/>
        </w:rPr>
        <w:t>The Vice</w:t>
      </w:r>
      <w:r w:rsidRPr="00F74653">
        <w:rPr>
          <w:rFonts w:ascii="Bookman Old Style" w:hAnsi="Bookman Old Style"/>
          <w:lang w:val="en-US"/>
        </w:rPr>
        <w:t>-</w:t>
      </w:r>
      <w:r w:rsidRPr="00F74653">
        <w:rPr>
          <w:rFonts w:ascii="Bookman Old Style" w:hAnsi="Bookman Old Style"/>
        </w:rPr>
        <w:t>Chairperson and Commissioners</w:t>
      </w:r>
      <w:r w:rsidRPr="00F74653">
        <w:rPr>
          <w:rFonts w:ascii="Bookman Old Style" w:hAnsi="Bookman Old Style"/>
          <w:lang w:val="en-US"/>
        </w:rPr>
        <w:t>;</w:t>
      </w:r>
      <w:r w:rsidRPr="00F74653">
        <w:rPr>
          <w:rFonts w:ascii="Bookman Old Style" w:hAnsi="Bookman Old Style"/>
        </w:rPr>
        <w:br/>
        <w:t>The Director-General and Members of Staff</w:t>
      </w:r>
      <w:r w:rsidRPr="00F74653">
        <w:rPr>
          <w:rFonts w:ascii="Bookman Old Style" w:hAnsi="Bookman Old Style"/>
          <w:lang w:val="en-US"/>
        </w:rPr>
        <w:t>;</w:t>
      </w:r>
      <w:r w:rsidRPr="00F74653">
        <w:rPr>
          <w:rFonts w:ascii="Bookman Old Style" w:hAnsi="Bookman Old Style"/>
        </w:rPr>
        <w:br/>
        <w:t>Members of the Press</w:t>
      </w:r>
      <w:r w:rsidRPr="00F74653">
        <w:rPr>
          <w:rFonts w:ascii="Bookman Old Style" w:hAnsi="Bookman Old Style"/>
          <w:lang w:val="en-US"/>
        </w:rPr>
        <w:t>.</w:t>
      </w:r>
    </w:p>
    <w:p w14:paraId="34011347" w14:textId="77777777" w:rsidR="000556A9" w:rsidRPr="00A635DE" w:rsidRDefault="000556A9" w:rsidP="00C60F3A">
      <w:pPr>
        <w:pStyle w:val="NormalWeb"/>
        <w:spacing w:line="276" w:lineRule="auto"/>
        <w:jc w:val="both"/>
        <w:rPr>
          <w:rFonts w:ascii="Bookman Old Style" w:hAnsi="Bookman Old Style"/>
          <w:b/>
        </w:rPr>
      </w:pPr>
      <w:r w:rsidRPr="00A635DE">
        <w:rPr>
          <w:rFonts w:ascii="Bookman Old Style" w:hAnsi="Bookman Old Style"/>
          <w:b/>
        </w:rPr>
        <w:t>Good morning to you all.</w:t>
      </w:r>
    </w:p>
    <w:p w14:paraId="284D5EDD" w14:textId="20635BF6" w:rsidR="000556A9" w:rsidRPr="00F74653" w:rsidRDefault="000556A9" w:rsidP="00C60F3A">
      <w:pPr>
        <w:pStyle w:val="NormalWeb"/>
        <w:spacing w:line="276" w:lineRule="auto"/>
        <w:jc w:val="both"/>
        <w:rPr>
          <w:rFonts w:ascii="Bookman Old Style" w:hAnsi="Bookman Old Style"/>
        </w:rPr>
      </w:pPr>
      <w:r w:rsidRPr="00F74653">
        <w:rPr>
          <w:rFonts w:ascii="Bookman Old Style" w:hAnsi="Bookman Old Style"/>
          <w:lang w:val="en-US"/>
        </w:rPr>
        <w:t>The Human Rights Commission has</w:t>
      </w:r>
      <w:r w:rsidRPr="00F74653">
        <w:rPr>
          <w:rFonts w:ascii="Bookman Old Style" w:hAnsi="Bookman Old Style"/>
        </w:rPr>
        <w:t xml:space="preserve"> invited </w:t>
      </w:r>
      <w:r w:rsidRPr="00F74653">
        <w:rPr>
          <w:rFonts w:ascii="Bookman Old Style" w:hAnsi="Bookman Old Style"/>
          <w:lang w:val="en-US"/>
        </w:rPr>
        <w:t xml:space="preserve">you </w:t>
      </w:r>
      <w:r w:rsidRPr="00F74653">
        <w:rPr>
          <w:rFonts w:ascii="Bookman Old Style" w:hAnsi="Bookman Old Style"/>
        </w:rPr>
        <w:t xml:space="preserve">here today to share key human rights information with the general public. The specific information being shared </w:t>
      </w:r>
      <w:r w:rsidR="00440E7B">
        <w:rPr>
          <w:rFonts w:ascii="Bookman Old Style" w:hAnsi="Bookman Old Style"/>
        </w:rPr>
        <w:t>relates to</w:t>
      </w:r>
      <w:r w:rsidRPr="00F74653">
        <w:rPr>
          <w:rFonts w:ascii="Bookman Old Style" w:hAnsi="Bookman Old Style"/>
        </w:rPr>
        <w:t xml:space="preserve"> two </w:t>
      </w:r>
      <w:r w:rsidR="00440E7B">
        <w:rPr>
          <w:rFonts w:ascii="Bookman Old Style" w:hAnsi="Bookman Old Style"/>
        </w:rPr>
        <w:t>issues</w:t>
      </w:r>
      <w:r w:rsidRPr="00F74653">
        <w:rPr>
          <w:rFonts w:ascii="Bookman Old Style" w:hAnsi="Bookman Old Style"/>
        </w:rPr>
        <w:t>:</w:t>
      </w:r>
    </w:p>
    <w:p w14:paraId="3B3D167B" w14:textId="77777777" w:rsidR="000556A9" w:rsidRPr="00F74653" w:rsidRDefault="000556A9" w:rsidP="00C60F3A">
      <w:pPr>
        <w:pStyle w:val="NormalWeb"/>
        <w:numPr>
          <w:ilvl w:val="0"/>
          <w:numId w:val="2"/>
        </w:numPr>
        <w:spacing w:line="276" w:lineRule="auto"/>
        <w:jc w:val="both"/>
        <w:rPr>
          <w:rFonts w:ascii="Bookman Old Style" w:hAnsi="Bookman Old Style"/>
        </w:rPr>
      </w:pPr>
      <w:r w:rsidRPr="00F74653">
        <w:rPr>
          <w:rFonts w:ascii="Bookman Old Style" w:hAnsi="Bookman Old Style"/>
        </w:rPr>
        <w:t>Update on the Commission Cases Review Meeting for July, 2026; and</w:t>
      </w:r>
    </w:p>
    <w:p w14:paraId="3194507D" w14:textId="77777777" w:rsidR="000556A9" w:rsidRPr="00F74653" w:rsidRDefault="000556A9" w:rsidP="00C60F3A">
      <w:pPr>
        <w:pStyle w:val="NormalWeb"/>
        <w:numPr>
          <w:ilvl w:val="0"/>
          <w:numId w:val="2"/>
        </w:numPr>
        <w:spacing w:line="276" w:lineRule="auto"/>
        <w:jc w:val="both"/>
        <w:rPr>
          <w:rFonts w:ascii="Bookman Old Style" w:hAnsi="Bookman Old Style"/>
        </w:rPr>
      </w:pPr>
      <w:r w:rsidRPr="00F74653">
        <w:rPr>
          <w:rFonts w:ascii="Bookman Old Style" w:hAnsi="Bookman Old Style"/>
        </w:rPr>
        <w:t xml:space="preserve">Commission observations on the human rights environment during this pre-election period. </w:t>
      </w:r>
    </w:p>
    <w:p w14:paraId="21E0A327" w14:textId="1EE2C5C4" w:rsidR="000556A9" w:rsidRPr="00F74653" w:rsidRDefault="000556A9" w:rsidP="00C60F3A">
      <w:pPr>
        <w:pStyle w:val="NormalWeb"/>
        <w:spacing w:line="276" w:lineRule="auto"/>
        <w:jc w:val="both"/>
        <w:rPr>
          <w:rFonts w:ascii="Bookman Old Style" w:hAnsi="Bookman Old Style"/>
        </w:rPr>
      </w:pPr>
      <w:r w:rsidRPr="00F74653">
        <w:rPr>
          <w:rFonts w:ascii="Bookman Old Style" w:hAnsi="Bookman Old Style"/>
        </w:rPr>
        <w:t xml:space="preserve">We wish to thank the media for responding to our invitation and for being an important medium for disseminating human rights education and awareness in the country.  </w:t>
      </w:r>
      <w:r w:rsidR="00A635DE" w:rsidRPr="00F74653">
        <w:rPr>
          <w:rFonts w:ascii="Bookman Old Style" w:hAnsi="Bookman Old Style"/>
        </w:rPr>
        <w:t>In line with section 6 (1) (c) of the Human Rights Commission Act</w:t>
      </w:r>
      <w:r w:rsidR="00A635DE" w:rsidRPr="00F74653">
        <w:rPr>
          <w:rFonts w:ascii="Bookman Old Style" w:hAnsi="Bookman Old Style"/>
          <w:lang w:val="en-US"/>
        </w:rPr>
        <w:t>,</w:t>
      </w:r>
      <w:r w:rsidR="00A635DE" w:rsidRPr="00F74653">
        <w:rPr>
          <w:rFonts w:ascii="Bookman Old Style" w:hAnsi="Bookman Old Style"/>
        </w:rPr>
        <w:t xml:space="preserve"> No. 4 of 2024, the Commission is mandated to periodically report to the general public on the observance of rights and freedoms in the </w:t>
      </w:r>
      <w:r w:rsidR="00A635DE" w:rsidRPr="00F74653">
        <w:rPr>
          <w:rFonts w:ascii="Bookman Old Style" w:hAnsi="Bookman Old Style"/>
          <w:lang w:val="en-US"/>
        </w:rPr>
        <w:t>country</w:t>
      </w:r>
      <w:r w:rsidR="00A635DE" w:rsidRPr="00F74653">
        <w:rPr>
          <w:rFonts w:ascii="Bookman Old Style" w:hAnsi="Bookman Old Style"/>
        </w:rPr>
        <w:t>.</w:t>
      </w:r>
    </w:p>
    <w:p w14:paraId="4442F72F" w14:textId="77777777" w:rsidR="000556A9" w:rsidRPr="00F74653" w:rsidRDefault="000556A9" w:rsidP="00C60F3A">
      <w:pPr>
        <w:jc w:val="both"/>
        <w:rPr>
          <w:rFonts w:ascii="Bookman Old Style" w:hAnsi="Bookman Old Style"/>
          <w:b/>
          <w:sz w:val="24"/>
          <w:szCs w:val="24"/>
        </w:rPr>
      </w:pPr>
      <w:r w:rsidRPr="00F74653">
        <w:rPr>
          <w:rStyle w:val="Strong"/>
          <w:rFonts w:ascii="Bookman Old Style" w:hAnsi="Bookman Old Style"/>
          <w:b w:val="0"/>
          <w:sz w:val="24"/>
          <w:szCs w:val="24"/>
        </w:rPr>
        <w:t xml:space="preserve">Allow me to first report on the outcome of the Commission Cases Review Meetings before briefly reflecting on human rights aspects of the pre-13 August 2026 General Election. </w:t>
      </w:r>
    </w:p>
    <w:p w14:paraId="7D24AD73" w14:textId="77777777" w:rsidR="00E852B2" w:rsidRPr="00A635DE" w:rsidRDefault="00E852B2" w:rsidP="00E852B2">
      <w:pPr>
        <w:spacing w:before="100" w:beforeAutospacing="1" w:after="100" w:afterAutospacing="1" w:line="240" w:lineRule="auto"/>
        <w:jc w:val="both"/>
        <w:rPr>
          <w:rFonts w:ascii="Bookman Old Style" w:eastAsia="Times New Roman" w:hAnsi="Bookman Old Style" w:cs="Times New Roman"/>
          <w:b/>
          <w:sz w:val="24"/>
          <w:szCs w:val="24"/>
        </w:rPr>
      </w:pPr>
      <w:r w:rsidRPr="00A635DE">
        <w:rPr>
          <w:rFonts w:ascii="Bookman Old Style" w:eastAsia="Times New Roman" w:hAnsi="Bookman Old Style" w:cs="Times New Roman"/>
          <w:b/>
          <w:sz w:val="24"/>
          <w:szCs w:val="24"/>
        </w:rPr>
        <w:t>Ladies and Gentlemen,</w:t>
      </w:r>
    </w:p>
    <w:p w14:paraId="031F119D" w14:textId="54F2DDBA"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During the </w:t>
      </w:r>
      <w:r w:rsidR="00D92366">
        <w:rPr>
          <w:rFonts w:ascii="Bookman Old Style" w:eastAsia="Times New Roman" w:hAnsi="Bookman Old Style" w:cs="Times New Roman"/>
          <w:sz w:val="24"/>
          <w:szCs w:val="24"/>
        </w:rPr>
        <w:t>Cases Review M</w:t>
      </w:r>
      <w:r w:rsidRPr="002A6067">
        <w:rPr>
          <w:rFonts w:ascii="Bookman Old Style" w:eastAsia="Times New Roman" w:hAnsi="Bookman Old Style" w:cs="Times New Roman"/>
          <w:sz w:val="24"/>
          <w:szCs w:val="24"/>
        </w:rPr>
        <w:t xml:space="preserve">eeting, the Commission considered </w:t>
      </w:r>
      <w:r w:rsidR="00D92366">
        <w:rPr>
          <w:rFonts w:ascii="Bookman Old Style" w:eastAsia="Times New Roman" w:hAnsi="Bookman Old Style" w:cs="Times New Roman"/>
          <w:sz w:val="24"/>
          <w:szCs w:val="24"/>
        </w:rPr>
        <w:t xml:space="preserve">a total of </w:t>
      </w:r>
      <w:r w:rsidRPr="002A6067">
        <w:rPr>
          <w:rFonts w:ascii="Bookman Old Style" w:eastAsia="Times New Roman" w:hAnsi="Bookman Old Style" w:cs="Times New Roman"/>
          <w:sz w:val="24"/>
          <w:szCs w:val="24"/>
        </w:rPr>
        <w:t xml:space="preserve">105 </w:t>
      </w:r>
      <w:r w:rsidR="00A635DE">
        <w:rPr>
          <w:rFonts w:ascii="Bookman Old Style" w:eastAsia="Times New Roman" w:hAnsi="Bookman Old Style" w:cs="Times New Roman"/>
          <w:sz w:val="24"/>
          <w:szCs w:val="24"/>
        </w:rPr>
        <w:t>allegations of</w:t>
      </w:r>
      <w:r w:rsidRPr="002A6067">
        <w:rPr>
          <w:rFonts w:ascii="Bookman Old Style" w:eastAsia="Times New Roman" w:hAnsi="Bookman Old Style" w:cs="Times New Roman"/>
          <w:sz w:val="24"/>
          <w:szCs w:val="24"/>
        </w:rPr>
        <w:t xml:space="preserve"> human rights violations and abuses. </w:t>
      </w:r>
      <w:r w:rsidR="00A635DE" w:rsidRPr="00A635DE">
        <w:rPr>
          <w:rFonts w:ascii="Bookman Old Style" w:eastAsia="Times New Roman" w:hAnsi="Bookman Old Style" w:cs="Times New Roman"/>
          <w:sz w:val="24"/>
          <w:szCs w:val="24"/>
        </w:rPr>
        <w:t>The</w:t>
      </w:r>
      <w:r w:rsidR="00A635DE">
        <w:rPr>
          <w:rFonts w:ascii="Bookman Old Style" w:eastAsia="Times New Roman" w:hAnsi="Bookman Old Style" w:cs="Times New Roman"/>
          <w:sz w:val="24"/>
          <w:szCs w:val="24"/>
        </w:rPr>
        <w:t>se</w:t>
      </w:r>
      <w:r w:rsidR="00A635DE" w:rsidRPr="00A635DE">
        <w:rPr>
          <w:rFonts w:ascii="Bookman Old Style" w:eastAsia="Times New Roman" w:hAnsi="Bookman Old Style" w:cs="Times New Roman"/>
          <w:sz w:val="24"/>
          <w:szCs w:val="24"/>
        </w:rPr>
        <w:t xml:space="preserve"> cases arose from different circumstances and involved various duty bearers, including law enforcement agencies, justice-sector institutions, </w:t>
      </w:r>
      <w:r w:rsidR="00145950">
        <w:rPr>
          <w:rFonts w:ascii="Bookman Old Style" w:eastAsia="Times New Roman" w:hAnsi="Bookman Old Style" w:cs="Times New Roman"/>
          <w:sz w:val="24"/>
          <w:szCs w:val="24"/>
        </w:rPr>
        <w:t xml:space="preserve">and </w:t>
      </w:r>
      <w:r w:rsidR="00A635DE" w:rsidRPr="00A635DE">
        <w:rPr>
          <w:rFonts w:ascii="Bookman Old Style" w:eastAsia="Times New Roman" w:hAnsi="Bookman Old Style" w:cs="Times New Roman"/>
          <w:sz w:val="24"/>
          <w:szCs w:val="24"/>
        </w:rPr>
        <w:t>other public and private entities.</w:t>
      </w:r>
      <w:r w:rsidR="00A635DE">
        <w:rPr>
          <w:rFonts w:ascii="Bookman Old Style" w:eastAsia="Times New Roman" w:hAnsi="Bookman Old Style" w:cs="Times New Roman"/>
          <w:sz w:val="24"/>
          <w:szCs w:val="24"/>
        </w:rPr>
        <w:t xml:space="preserve"> </w:t>
      </w:r>
      <w:r w:rsidRPr="002A6067">
        <w:rPr>
          <w:rFonts w:ascii="Bookman Old Style" w:eastAsia="Times New Roman" w:hAnsi="Bookman Old Style" w:cs="Times New Roman"/>
          <w:sz w:val="24"/>
          <w:szCs w:val="24"/>
        </w:rPr>
        <w:t>The cases were categorised as follows:</w:t>
      </w:r>
    </w:p>
    <w:p w14:paraId="277D6294" w14:textId="4F73E333" w:rsidR="00D92366"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Maladministration of justice</w:t>
      </w:r>
      <w:r w:rsidRPr="00F74653">
        <w:rPr>
          <w:rFonts w:ascii="Bookman Old Style" w:eastAsia="Times New Roman" w:hAnsi="Bookman Old Style" w:cs="Times New Roman"/>
          <w:sz w:val="24"/>
          <w:szCs w:val="24"/>
          <w:lang w:val="en-US"/>
        </w:rPr>
        <w:t xml:space="preserve"> </w:t>
      </w:r>
      <w:r>
        <w:rPr>
          <w:rFonts w:ascii="Bookman Old Style" w:eastAsia="Times New Roman" w:hAnsi="Bookman Old Style" w:cs="Times New Roman"/>
          <w:sz w:val="24"/>
          <w:szCs w:val="24"/>
          <w:lang w:val="en-US"/>
        </w:rPr>
        <w:tab/>
      </w:r>
      <w:r>
        <w:rPr>
          <w:rFonts w:ascii="Bookman Old Style" w:eastAsia="Times New Roman" w:hAnsi="Bookman Old Style" w:cs="Times New Roman"/>
          <w:sz w:val="24"/>
          <w:szCs w:val="24"/>
          <w:lang w:val="en-US"/>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2 cases</w:t>
      </w:r>
      <w:r>
        <w:rPr>
          <w:rFonts w:ascii="Bookman Old Style" w:eastAsia="Times New Roman" w:hAnsi="Bookman Old Style" w:cs="Times New Roman"/>
          <w:sz w:val="24"/>
          <w:szCs w:val="24"/>
        </w:rPr>
        <w:t>;</w:t>
      </w:r>
    </w:p>
    <w:p w14:paraId="7E1A38D3" w14:textId="2BDFF6B7" w:rsidR="00D92366"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Labour and employment rights </w:t>
      </w:r>
      <w:r>
        <w:rPr>
          <w:rFonts w:ascii="Bookman Old Style" w:eastAsia="Times New Roman" w:hAnsi="Bookman Old Style" w:cs="Times New Roman"/>
          <w:sz w:val="24"/>
          <w:szCs w:val="24"/>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2 cases</w:t>
      </w:r>
      <w:r>
        <w:rPr>
          <w:rFonts w:ascii="Bookman Old Style" w:eastAsia="Times New Roman" w:hAnsi="Bookman Old Style" w:cs="Times New Roman"/>
          <w:sz w:val="24"/>
          <w:szCs w:val="24"/>
        </w:rPr>
        <w:t>;</w:t>
      </w:r>
      <w:r w:rsidRPr="00D92366">
        <w:rPr>
          <w:rFonts w:ascii="Bookman Old Style" w:eastAsia="Times New Roman" w:hAnsi="Bookman Old Style" w:cs="Times New Roman"/>
          <w:sz w:val="24"/>
          <w:szCs w:val="24"/>
        </w:rPr>
        <w:t xml:space="preserve"> </w:t>
      </w:r>
    </w:p>
    <w:p w14:paraId="2D6D422E" w14:textId="2FF39715" w:rsidR="00D92366" w:rsidRPr="002A6067"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Right to education </w:t>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3 cases;</w:t>
      </w:r>
    </w:p>
    <w:p w14:paraId="6085027E" w14:textId="317CBCC3" w:rsidR="00D92366"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Right to health</w:t>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6 cases;</w:t>
      </w:r>
      <w:r w:rsidRPr="00D92366">
        <w:rPr>
          <w:rFonts w:ascii="Bookman Old Style" w:eastAsia="Times New Roman" w:hAnsi="Bookman Old Style" w:cs="Times New Roman"/>
          <w:sz w:val="24"/>
          <w:szCs w:val="24"/>
        </w:rPr>
        <w:t xml:space="preserve"> </w:t>
      </w:r>
    </w:p>
    <w:p w14:paraId="48E85FD1" w14:textId="6D6CAFAA" w:rsidR="00D92366" w:rsidRPr="002A6067"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Child protection</w:t>
      </w:r>
      <w:r w:rsidRPr="00F74653">
        <w:rPr>
          <w:rFonts w:ascii="Bookman Old Style" w:eastAsia="Times New Roman" w:hAnsi="Bookman Old Style" w:cs="Times New Roman"/>
          <w:sz w:val="24"/>
          <w:szCs w:val="24"/>
          <w:lang w:val="en-US"/>
        </w:rPr>
        <w:t xml:space="preserve"> </w:t>
      </w:r>
      <w:r>
        <w:rPr>
          <w:rFonts w:ascii="Bookman Old Style" w:eastAsia="Times New Roman" w:hAnsi="Bookman Old Style" w:cs="Times New Roman"/>
          <w:sz w:val="24"/>
          <w:szCs w:val="24"/>
          <w:lang w:val="en-US"/>
        </w:rPr>
        <w:tab/>
      </w:r>
      <w:r>
        <w:rPr>
          <w:rFonts w:ascii="Bookman Old Style" w:eastAsia="Times New Roman" w:hAnsi="Bookman Old Style" w:cs="Times New Roman"/>
          <w:sz w:val="24"/>
          <w:szCs w:val="24"/>
          <w:lang w:val="en-US"/>
        </w:rPr>
        <w:tab/>
      </w:r>
      <w:r>
        <w:rPr>
          <w:rFonts w:ascii="Bookman Old Style" w:eastAsia="Times New Roman" w:hAnsi="Bookman Old Style" w:cs="Times New Roman"/>
          <w:sz w:val="24"/>
          <w:szCs w:val="24"/>
          <w:lang w:val="en-US"/>
        </w:rPr>
        <w:tab/>
      </w:r>
      <w:r>
        <w:rPr>
          <w:rFonts w:ascii="Bookman Old Style" w:eastAsia="Times New Roman" w:hAnsi="Bookman Old Style" w:cs="Times New Roman"/>
          <w:sz w:val="24"/>
          <w:szCs w:val="24"/>
          <w:lang w:val="en-US"/>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8 cases</w:t>
      </w:r>
      <w:r>
        <w:rPr>
          <w:rFonts w:ascii="Bookman Old Style" w:eastAsia="Times New Roman" w:hAnsi="Bookman Old Style" w:cs="Times New Roman"/>
          <w:sz w:val="24"/>
          <w:szCs w:val="24"/>
        </w:rPr>
        <w:t>;</w:t>
      </w:r>
    </w:p>
    <w:p w14:paraId="70F3FF51" w14:textId="280B1688" w:rsidR="00D92366" w:rsidRPr="002A6067"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Protection of personal liberty </w:t>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36 cases;</w:t>
      </w:r>
      <w:r>
        <w:rPr>
          <w:rFonts w:ascii="Bookman Old Style" w:eastAsia="Times New Roman" w:hAnsi="Bookman Old Style" w:cs="Times New Roman"/>
          <w:sz w:val="24"/>
          <w:szCs w:val="24"/>
        </w:rPr>
        <w:t xml:space="preserve"> and</w:t>
      </w:r>
    </w:p>
    <w:p w14:paraId="23DD9DC2" w14:textId="7D9C0B88" w:rsidR="00E852B2" w:rsidRPr="00D92366" w:rsidRDefault="00D92366" w:rsidP="00D92366">
      <w:pPr>
        <w:numPr>
          <w:ilvl w:val="0"/>
          <w:numId w:val="8"/>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Secure protection of the law </w:t>
      </w:r>
      <w:r>
        <w:rPr>
          <w:rFonts w:ascii="Bookman Old Style" w:eastAsia="Times New Roman" w:hAnsi="Bookman Old Style" w:cs="Times New Roman"/>
          <w:sz w:val="24"/>
          <w:szCs w:val="24"/>
        </w:rPr>
        <w:tab/>
      </w:r>
      <w:r>
        <w:rPr>
          <w:rFonts w:ascii="Bookman Old Style" w:eastAsia="Times New Roman" w:hAnsi="Bookman Old Style" w:cs="Times New Roman"/>
          <w:sz w:val="24"/>
          <w:szCs w:val="24"/>
        </w:rPr>
        <w:tab/>
      </w:r>
      <w:r w:rsidRPr="00F74653">
        <w:rPr>
          <w:rFonts w:ascii="Bookman Old Style" w:eastAsia="Times New Roman" w:hAnsi="Bookman Old Style" w:cs="Times New Roman"/>
          <w:sz w:val="24"/>
          <w:szCs w:val="24"/>
          <w:lang w:val="en-US"/>
        </w:rPr>
        <w:t>-</w:t>
      </w:r>
      <w:r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ab/>
      </w:r>
      <w:r w:rsidRPr="002A6067">
        <w:rPr>
          <w:rFonts w:ascii="Bookman Old Style" w:eastAsia="Times New Roman" w:hAnsi="Bookman Old Style" w:cs="Times New Roman"/>
          <w:sz w:val="24"/>
          <w:szCs w:val="24"/>
        </w:rPr>
        <w:t>48 cases</w:t>
      </w:r>
      <w:r>
        <w:rPr>
          <w:rFonts w:ascii="Bookman Old Style" w:eastAsia="Times New Roman" w:hAnsi="Bookman Old Style" w:cs="Times New Roman"/>
          <w:sz w:val="24"/>
          <w:szCs w:val="24"/>
        </w:rPr>
        <w:t>.</w:t>
      </w:r>
    </w:p>
    <w:p w14:paraId="6EFAEF80" w14:textId="6356254E"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lastRenderedPageBreak/>
        <w:t>Of the</w:t>
      </w:r>
      <w:r w:rsidR="00A635DE">
        <w:rPr>
          <w:rFonts w:ascii="Bookman Old Style" w:eastAsia="Times New Roman" w:hAnsi="Bookman Old Style" w:cs="Times New Roman"/>
          <w:sz w:val="24"/>
          <w:szCs w:val="24"/>
        </w:rPr>
        <w:t>se</w:t>
      </w:r>
      <w:r w:rsidRPr="002A6067">
        <w:rPr>
          <w:rFonts w:ascii="Bookman Old Style" w:eastAsia="Times New Roman" w:hAnsi="Bookman Old Style" w:cs="Times New Roman"/>
          <w:sz w:val="24"/>
          <w:szCs w:val="24"/>
        </w:rPr>
        <w:t xml:space="preserve"> 105 cases reviewed, 62 were successfully resolved</w:t>
      </w:r>
      <w:r w:rsidR="00A635DE">
        <w:rPr>
          <w:rFonts w:ascii="Bookman Old Style" w:eastAsia="Times New Roman" w:hAnsi="Bookman Old Style" w:cs="Times New Roman"/>
          <w:sz w:val="24"/>
          <w:szCs w:val="24"/>
        </w:rPr>
        <w:t xml:space="preserve"> by</w:t>
      </w:r>
      <w:r w:rsidRPr="002A6067">
        <w:rPr>
          <w:rFonts w:ascii="Bookman Old Style" w:eastAsia="Times New Roman" w:hAnsi="Bookman Old Style" w:cs="Times New Roman"/>
          <w:sz w:val="24"/>
          <w:szCs w:val="24"/>
        </w:rPr>
        <w:t xml:space="preserve"> facilitat</w:t>
      </w:r>
      <w:r w:rsidR="00A635DE">
        <w:rPr>
          <w:rFonts w:ascii="Bookman Old Style" w:eastAsia="Times New Roman" w:hAnsi="Bookman Old Style" w:cs="Times New Roman"/>
          <w:sz w:val="24"/>
          <w:szCs w:val="24"/>
        </w:rPr>
        <w:t>ing</w:t>
      </w:r>
      <w:r w:rsidRPr="002A6067">
        <w:rPr>
          <w:rFonts w:ascii="Bookman Old Style" w:eastAsia="Times New Roman" w:hAnsi="Bookman Old Style" w:cs="Times New Roman"/>
          <w:sz w:val="24"/>
          <w:szCs w:val="24"/>
        </w:rPr>
        <w:t xml:space="preserve"> appropriate remedies for </w:t>
      </w:r>
      <w:r w:rsidR="00A635DE">
        <w:rPr>
          <w:rFonts w:ascii="Bookman Old Style" w:eastAsia="Times New Roman" w:hAnsi="Bookman Old Style" w:cs="Times New Roman"/>
          <w:sz w:val="24"/>
          <w:szCs w:val="24"/>
        </w:rPr>
        <w:t xml:space="preserve">the </w:t>
      </w:r>
      <w:r w:rsidRPr="002A6067">
        <w:rPr>
          <w:rFonts w:ascii="Bookman Old Style" w:eastAsia="Times New Roman" w:hAnsi="Bookman Old Style" w:cs="Times New Roman"/>
          <w:sz w:val="24"/>
          <w:szCs w:val="24"/>
        </w:rPr>
        <w:t xml:space="preserve">affected persons, </w:t>
      </w:r>
      <w:r w:rsidR="00A635DE">
        <w:rPr>
          <w:rFonts w:ascii="Bookman Old Style" w:eastAsia="Times New Roman" w:hAnsi="Bookman Old Style" w:cs="Times New Roman"/>
          <w:sz w:val="24"/>
          <w:szCs w:val="24"/>
        </w:rPr>
        <w:t>through</w:t>
      </w:r>
      <w:r w:rsidRPr="002A6067">
        <w:rPr>
          <w:rFonts w:ascii="Bookman Old Style" w:eastAsia="Times New Roman" w:hAnsi="Bookman Old Style" w:cs="Times New Roman"/>
          <w:sz w:val="24"/>
          <w:szCs w:val="24"/>
        </w:rPr>
        <w:t xml:space="preserve"> mediation, engagement</w:t>
      </w:r>
      <w:r w:rsidR="00A635DE">
        <w:rPr>
          <w:rFonts w:ascii="Bookman Old Style" w:eastAsia="Times New Roman" w:hAnsi="Bookman Old Style" w:cs="Times New Roman"/>
          <w:sz w:val="24"/>
          <w:szCs w:val="24"/>
        </w:rPr>
        <w:t>s</w:t>
      </w:r>
      <w:r w:rsidRPr="002A6067">
        <w:rPr>
          <w:rFonts w:ascii="Bookman Old Style" w:eastAsia="Times New Roman" w:hAnsi="Bookman Old Style" w:cs="Times New Roman"/>
          <w:sz w:val="24"/>
          <w:szCs w:val="24"/>
        </w:rPr>
        <w:t xml:space="preserve"> with responsible institutions, referrals for legal assistance, corrective action and other forms of redress.</w:t>
      </w:r>
    </w:p>
    <w:p w14:paraId="2BC2E4DB" w14:textId="61E7BF9A"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The remaining 43 cases are still under active consideration. </w:t>
      </w:r>
      <w:r w:rsidR="00A635DE">
        <w:rPr>
          <w:rFonts w:ascii="Bookman Old Style" w:eastAsia="Times New Roman" w:hAnsi="Bookman Old Style" w:cs="Times New Roman"/>
          <w:sz w:val="24"/>
          <w:szCs w:val="24"/>
        </w:rPr>
        <w:t>For these cases, t</w:t>
      </w:r>
      <w:r w:rsidRPr="002A6067">
        <w:rPr>
          <w:rFonts w:ascii="Bookman Old Style" w:eastAsia="Times New Roman" w:hAnsi="Bookman Old Style" w:cs="Times New Roman"/>
          <w:sz w:val="24"/>
          <w:szCs w:val="24"/>
        </w:rPr>
        <w:t>he Commission will continue engaging the relevant institutions to promote accountability and ensure that affected persons have access to effective remedies.</w:t>
      </w:r>
    </w:p>
    <w:p w14:paraId="1B9F470A" w14:textId="296375C5"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Beyond the statistics, </w:t>
      </w:r>
      <w:r w:rsidR="00A635DE">
        <w:rPr>
          <w:rFonts w:ascii="Bookman Old Style" w:eastAsia="Times New Roman" w:hAnsi="Bookman Old Style" w:cs="Times New Roman"/>
          <w:sz w:val="24"/>
          <w:szCs w:val="24"/>
        </w:rPr>
        <w:t xml:space="preserve">all </w:t>
      </w:r>
      <w:r w:rsidRPr="002A6067">
        <w:rPr>
          <w:rFonts w:ascii="Bookman Old Style" w:eastAsia="Times New Roman" w:hAnsi="Bookman Old Style" w:cs="Times New Roman"/>
          <w:sz w:val="24"/>
          <w:szCs w:val="24"/>
        </w:rPr>
        <w:t xml:space="preserve">the cases </w:t>
      </w:r>
      <w:r w:rsidR="00145950">
        <w:rPr>
          <w:rFonts w:ascii="Bookman Old Style" w:eastAsia="Times New Roman" w:hAnsi="Bookman Old Style" w:cs="Times New Roman"/>
          <w:sz w:val="24"/>
          <w:szCs w:val="24"/>
        </w:rPr>
        <w:t xml:space="preserve">affect real people, and </w:t>
      </w:r>
      <w:r w:rsidRPr="002A6067">
        <w:rPr>
          <w:rFonts w:ascii="Bookman Old Style" w:eastAsia="Times New Roman" w:hAnsi="Bookman Old Style" w:cs="Times New Roman"/>
          <w:sz w:val="24"/>
          <w:szCs w:val="24"/>
        </w:rPr>
        <w:t>reveal recurring patterns of human rights violations and institutional shortcomings that require urgent and sustained attention. The</w:t>
      </w:r>
      <w:r w:rsidR="00145950">
        <w:rPr>
          <w:rFonts w:ascii="Bookman Old Style" w:eastAsia="Times New Roman" w:hAnsi="Bookman Old Style" w:cs="Times New Roman"/>
          <w:sz w:val="24"/>
          <w:szCs w:val="24"/>
        </w:rPr>
        <w:t>se</w:t>
      </w:r>
      <w:r w:rsidR="00A635DE">
        <w:rPr>
          <w:rFonts w:ascii="Bookman Old Style" w:eastAsia="Times New Roman" w:hAnsi="Bookman Old Style" w:cs="Times New Roman"/>
          <w:sz w:val="24"/>
          <w:szCs w:val="24"/>
        </w:rPr>
        <w:t xml:space="preserve"> cases</w:t>
      </w:r>
      <w:r w:rsidRPr="002A6067">
        <w:rPr>
          <w:rFonts w:ascii="Bookman Old Style" w:eastAsia="Times New Roman" w:hAnsi="Bookman Old Style" w:cs="Times New Roman"/>
          <w:sz w:val="24"/>
          <w:szCs w:val="24"/>
        </w:rPr>
        <w:t xml:space="preserve"> underscore the need for stronger compliance with constitutional safeguards, improved institutional coordination, accountability for violations and timely access to justice and effective remedies.</w:t>
      </w:r>
    </w:p>
    <w:p w14:paraId="487519FB" w14:textId="77777777" w:rsidR="00E852B2" w:rsidRPr="00A635DE" w:rsidRDefault="00E852B2" w:rsidP="00E852B2">
      <w:pPr>
        <w:spacing w:before="100" w:beforeAutospacing="1" w:after="100" w:afterAutospacing="1" w:line="240" w:lineRule="auto"/>
        <w:jc w:val="both"/>
        <w:rPr>
          <w:rFonts w:ascii="Bookman Old Style" w:eastAsia="Times New Roman" w:hAnsi="Bookman Old Style" w:cs="Times New Roman"/>
          <w:b/>
          <w:sz w:val="24"/>
          <w:szCs w:val="24"/>
          <w:lang w:val="en-US"/>
        </w:rPr>
      </w:pPr>
      <w:r w:rsidRPr="00A635DE">
        <w:rPr>
          <w:rFonts w:ascii="Bookman Old Style" w:eastAsia="Times New Roman" w:hAnsi="Bookman Old Style" w:cs="Times New Roman"/>
          <w:b/>
          <w:sz w:val="24"/>
          <w:szCs w:val="24"/>
          <w:lang w:val="en-US"/>
        </w:rPr>
        <w:t>Ladies and Gentlemen,</w:t>
      </w:r>
    </w:p>
    <w:p w14:paraId="4F7299BC" w14:textId="02552008"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The Commission </w:t>
      </w:r>
      <w:r w:rsidR="00145950">
        <w:rPr>
          <w:rFonts w:ascii="Bookman Old Style" w:eastAsia="Times New Roman" w:hAnsi="Bookman Old Style" w:cs="Times New Roman"/>
          <w:sz w:val="24"/>
          <w:szCs w:val="24"/>
        </w:rPr>
        <w:t xml:space="preserve">has </w:t>
      </w:r>
      <w:r w:rsidRPr="002A6067">
        <w:rPr>
          <w:rFonts w:ascii="Bookman Old Style" w:eastAsia="Times New Roman" w:hAnsi="Bookman Old Style" w:cs="Times New Roman"/>
          <w:sz w:val="24"/>
          <w:szCs w:val="24"/>
        </w:rPr>
        <w:t xml:space="preserve">observed serious delays at different stages of the criminal justice process, </w:t>
      </w:r>
      <w:r w:rsidR="00145950">
        <w:rPr>
          <w:rFonts w:ascii="Bookman Old Style" w:eastAsia="Times New Roman" w:hAnsi="Bookman Old Style" w:cs="Times New Roman"/>
          <w:sz w:val="24"/>
          <w:szCs w:val="24"/>
        </w:rPr>
        <w:t>such as</w:t>
      </w:r>
      <w:r w:rsidRPr="002A6067">
        <w:rPr>
          <w:rFonts w:ascii="Bookman Old Style" w:eastAsia="Times New Roman" w:hAnsi="Bookman Old Style" w:cs="Times New Roman"/>
          <w:sz w:val="24"/>
          <w:szCs w:val="24"/>
        </w:rPr>
        <w:t xml:space="preserve"> delays in </w:t>
      </w:r>
      <w:r w:rsidR="00145950" w:rsidRPr="002A6067">
        <w:rPr>
          <w:rFonts w:ascii="Bookman Old Style" w:eastAsia="Times New Roman" w:hAnsi="Bookman Old Style" w:cs="Times New Roman"/>
          <w:sz w:val="24"/>
          <w:szCs w:val="24"/>
        </w:rPr>
        <w:t>commencing trials,</w:t>
      </w:r>
      <w:r w:rsidR="00145950">
        <w:rPr>
          <w:rFonts w:ascii="Bookman Old Style" w:eastAsia="Times New Roman" w:hAnsi="Bookman Old Style" w:cs="Times New Roman"/>
          <w:sz w:val="24"/>
          <w:szCs w:val="24"/>
        </w:rPr>
        <w:t xml:space="preserve"> </w:t>
      </w:r>
      <w:r w:rsidRPr="002A6067">
        <w:rPr>
          <w:rFonts w:ascii="Bookman Old Style" w:eastAsia="Times New Roman" w:hAnsi="Bookman Old Style" w:cs="Times New Roman"/>
          <w:sz w:val="24"/>
          <w:szCs w:val="24"/>
        </w:rPr>
        <w:t xml:space="preserve">bringing suspects before court, delivering judgments and </w:t>
      </w:r>
      <w:proofErr w:type="spellStart"/>
      <w:r w:rsidRPr="002A6067">
        <w:rPr>
          <w:rFonts w:ascii="Bookman Old Style" w:eastAsia="Times New Roman" w:hAnsi="Bookman Old Style" w:cs="Times New Roman"/>
          <w:sz w:val="24"/>
          <w:szCs w:val="24"/>
        </w:rPr>
        <w:t>sentenc</w:t>
      </w:r>
      <w:r w:rsidRPr="00F74653">
        <w:rPr>
          <w:rFonts w:ascii="Bookman Old Style" w:eastAsia="Times New Roman" w:hAnsi="Bookman Old Style" w:cs="Times New Roman"/>
          <w:sz w:val="24"/>
          <w:szCs w:val="24"/>
          <w:lang w:val="en-US"/>
        </w:rPr>
        <w:t>ing</w:t>
      </w:r>
      <w:proofErr w:type="spellEnd"/>
      <w:r w:rsidRPr="002A6067">
        <w:rPr>
          <w:rFonts w:ascii="Bookman Old Style" w:eastAsia="Times New Roman" w:hAnsi="Bookman Old Style" w:cs="Times New Roman"/>
          <w:sz w:val="24"/>
          <w:szCs w:val="24"/>
        </w:rPr>
        <w:t>.</w:t>
      </w:r>
      <w:r w:rsidR="00A635DE" w:rsidRPr="00A635DE">
        <w:rPr>
          <w:rFonts w:ascii="Bookman Old Style" w:eastAsia="Times New Roman" w:hAnsi="Bookman Old Style" w:cs="Times New Roman"/>
          <w:sz w:val="24"/>
          <w:szCs w:val="24"/>
        </w:rPr>
        <w:t xml:space="preserve"> </w:t>
      </w:r>
      <w:r w:rsidR="00A635DE">
        <w:rPr>
          <w:rFonts w:ascii="Bookman Old Style" w:eastAsia="Times New Roman" w:hAnsi="Bookman Old Style" w:cs="Times New Roman"/>
          <w:sz w:val="24"/>
          <w:szCs w:val="24"/>
        </w:rPr>
        <w:t xml:space="preserve">For instance, in three of the cases, Complainants were remanded in Lusaka, Ndola and </w:t>
      </w:r>
      <w:proofErr w:type="spellStart"/>
      <w:r w:rsidR="00A635DE" w:rsidRPr="002A6067">
        <w:rPr>
          <w:rFonts w:ascii="Bookman Old Style" w:eastAsia="Times New Roman" w:hAnsi="Bookman Old Style" w:cs="Times New Roman"/>
          <w:sz w:val="24"/>
          <w:szCs w:val="24"/>
        </w:rPr>
        <w:t>Mwembeshi</w:t>
      </w:r>
      <w:proofErr w:type="spellEnd"/>
      <w:r w:rsidR="00A635DE">
        <w:rPr>
          <w:rFonts w:ascii="Bookman Old Style" w:eastAsia="Times New Roman" w:hAnsi="Bookman Old Style" w:cs="Times New Roman"/>
          <w:sz w:val="24"/>
          <w:szCs w:val="24"/>
        </w:rPr>
        <w:t xml:space="preserve"> correctional centres for approximately five</w:t>
      </w:r>
      <w:r w:rsidR="00145950">
        <w:rPr>
          <w:rFonts w:ascii="Bookman Old Style" w:eastAsia="Times New Roman" w:hAnsi="Bookman Old Style" w:cs="Times New Roman"/>
          <w:sz w:val="24"/>
          <w:szCs w:val="24"/>
        </w:rPr>
        <w:t xml:space="preserve"> to</w:t>
      </w:r>
      <w:r w:rsidR="00A635DE">
        <w:rPr>
          <w:rFonts w:ascii="Bookman Old Style" w:eastAsia="Times New Roman" w:hAnsi="Bookman Old Style" w:cs="Times New Roman"/>
          <w:sz w:val="24"/>
          <w:szCs w:val="24"/>
        </w:rPr>
        <w:t xml:space="preserve"> seven years while awaiting sentence. </w:t>
      </w:r>
      <w:r w:rsidR="00A635DE" w:rsidRPr="002A6067">
        <w:rPr>
          <w:rFonts w:ascii="Bookman Old Style" w:eastAsia="Times New Roman" w:hAnsi="Bookman Old Style" w:cs="Times New Roman"/>
          <w:sz w:val="24"/>
          <w:szCs w:val="24"/>
        </w:rPr>
        <w:t xml:space="preserve">Following the Commission’s intervention and engagement with the relevant authorities, </w:t>
      </w:r>
      <w:r w:rsidR="00A635DE">
        <w:rPr>
          <w:rFonts w:ascii="Bookman Old Style" w:eastAsia="Times New Roman" w:hAnsi="Bookman Old Style" w:cs="Times New Roman"/>
          <w:sz w:val="24"/>
          <w:szCs w:val="24"/>
        </w:rPr>
        <w:t xml:space="preserve">the </w:t>
      </w:r>
      <w:r w:rsidR="00A635DE" w:rsidRPr="002A6067">
        <w:rPr>
          <w:rFonts w:ascii="Bookman Old Style" w:eastAsia="Times New Roman" w:hAnsi="Bookman Old Style" w:cs="Times New Roman"/>
          <w:sz w:val="24"/>
          <w:szCs w:val="24"/>
        </w:rPr>
        <w:t>matters</w:t>
      </w:r>
      <w:r w:rsidR="00A635DE">
        <w:rPr>
          <w:rFonts w:ascii="Bookman Old Style" w:eastAsia="Times New Roman" w:hAnsi="Bookman Old Style" w:cs="Times New Roman"/>
          <w:sz w:val="24"/>
          <w:szCs w:val="24"/>
        </w:rPr>
        <w:t xml:space="preserve"> progressed to judgment and sentencing</w:t>
      </w:r>
      <w:r w:rsidR="00A635DE" w:rsidRPr="002A6067">
        <w:rPr>
          <w:rFonts w:ascii="Bookman Old Style" w:eastAsia="Times New Roman" w:hAnsi="Bookman Old Style" w:cs="Times New Roman"/>
          <w:sz w:val="24"/>
          <w:szCs w:val="24"/>
        </w:rPr>
        <w:t xml:space="preserve">. </w:t>
      </w:r>
    </w:p>
    <w:p w14:paraId="6D4DFCD2" w14:textId="7CC3A1EA"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Such prolonged delays undermine the rights to personal liberty, a fair hearing and access to justice within a reasonable time</w:t>
      </w:r>
      <w:r w:rsidR="00145950">
        <w:rPr>
          <w:rFonts w:ascii="Bookman Old Style" w:eastAsia="Times New Roman" w:hAnsi="Bookman Old Style" w:cs="Times New Roman"/>
          <w:sz w:val="24"/>
          <w:szCs w:val="24"/>
        </w:rPr>
        <w:t>;</w:t>
      </w:r>
      <w:r w:rsidRPr="002A6067">
        <w:rPr>
          <w:rFonts w:ascii="Bookman Old Style" w:eastAsia="Times New Roman" w:hAnsi="Bookman Old Style" w:cs="Times New Roman"/>
          <w:sz w:val="24"/>
          <w:szCs w:val="24"/>
        </w:rPr>
        <w:t xml:space="preserve"> caus</w:t>
      </w:r>
      <w:r w:rsidR="00145950">
        <w:rPr>
          <w:rFonts w:ascii="Bookman Old Style" w:eastAsia="Times New Roman" w:hAnsi="Bookman Old Style" w:cs="Times New Roman"/>
          <w:sz w:val="24"/>
          <w:szCs w:val="24"/>
        </w:rPr>
        <w:t>ing</w:t>
      </w:r>
      <w:r w:rsidRPr="002A6067">
        <w:rPr>
          <w:rFonts w:ascii="Bookman Old Style" w:eastAsia="Times New Roman" w:hAnsi="Bookman Old Style" w:cs="Times New Roman"/>
          <w:sz w:val="24"/>
          <w:szCs w:val="24"/>
        </w:rPr>
        <w:t xml:space="preserve"> severe emotional, social and economic consequences for accused persons, victims, witnesses and their families.</w:t>
      </w:r>
    </w:p>
    <w:p w14:paraId="7C69D296" w14:textId="424C2072" w:rsidR="00E852B2" w:rsidRPr="002A6067" w:rsidRDefault="00145950" w:rsidP="00E852B2">
      <w:pPr>
        <w:spacing w:before="100" w:beforeAutospacing="1" w:after="100" w:afterAutospacing="1"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lang w:val="en-US"/>
        </w:rPr>
        <w:t>In a</w:t>
      </w:r>
      <w:r w:rsidR="00E852B2" w:rsidRPr="00F74653">
        <w:rPr>
          <w:rFonts w:ascii="Bookman Old Style" w:eastAsia="Times New Roman" w:hAnsi="Bookman Old Style" w:cs="Times New Roman"/>
          <w:sz w:val="24"/>
          <w:szCs w:val="24"/>
          <w:lang w:val="en-US"/>
        </w:rPr>
        <w:t>ddition, t</w:t>
      </w:r>
      <w:r w:rsidR="00E852B2" w:rsidRPr="002A6067">
        <w:rPr>
          <w:rFonts w:ascii="Bookman Old Style" w:eastAsia="Times New Roman" w:hAnsi="Bookman Old Style" w:cs="Times New Roman"/>
          <w:sz w:val="24"/>
          <w:szCs w:val="24"/>
        </w:rPr>
        <w:t xml:space="preserve">he Commission is concerned about </w:t>
      </w:r>
      <w:r w:rsidR="00961E0A">
        <w:rPr>
          <w:rFonts w:ascii="Bookman Old Style" w:eastAsia="Times New Roman" w:hAnsi="Bookman Old Style" w:cs="Times New Roman"/>
          <w:sz w:val="24"/>
          <w:szCs w:val="24"/>
        </w:rPr>
        <w:t xml:space="preserve">murder </w:t>
      </w:r>
      <w:r w:rsidR="00E852B2" w:rsidRPr="002A6067">
        <w:rPr>
          <w:rFonts w:ascii="Bookman Old Style" w:eastAsia="Times New Roman" w:hAnsi="Bookman Old Style" w:cs="Times New Roman"/>
          <w:sz w:val="24"/>
          <w:szCs w:val="24"/>
        </w:rPr>
        <w:t xml:space="preserve">suspects who </w:t>
      </w:r>
      <w:r w:rsidR="00DB6FE6">
        <w:rPr>
          <w:rFonts w:ascii="Bookman Old Style" w:eastAsia="Times New Roman" w:hAnsi="Bookman Old Style" w:cs="Times New Roman"/>
          <w:sz w:val="24"/>
          <w:szCs w:val="24"/>
        </w:rPr>
        <w:t xml:space="preserve">have </w:t>
      </w:r>
      <w:r w:rsidR="00E852B2" w:rsidRPr="002A6067">
        <w:rPr>
          <w:rFonts w:ascii="Bookman Old Style" w:eastAsia="Times New Roman" w:hAnsi="Bookman Old Style" w:cs="Times New Roman"/>
          <w:sz w:val="24"/>
          <w:szCs w:val="24"/>
        </w:rPr>
        <w:t>remained in police custody for prolonged periods while authorities awaited post-mortem or pathologists’ reports.</w:t>
      </w:r>
      <w:r w:rsidR="00961E0A">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In this regard, the Commission reviewed c</w:t>
      </w:r>
      <w:r w:rsidRPr="002A6067">
        <w:rPr>
          <w:rFonts w:ascii="Bookman Old Style" w:eastAsia="Times New Roman" w:hAnsi="Bookman Old Style" w:cs="Times New Roman"/>
          <w:sz w:val="24"/>
          <w:szCs w:val="24"/>
        </w:rPr>
        <w:t xml:space="preserve">ases </w:t>
      </w:r>
      <w:r>
        <w:rPr>
          <w:rFonts w:ascii="Bookman Old Style" w:eastAsia="Times New Roman" w:hAnsi="Bookman Old Style" w:cs="Times New Roman"/>
          <w:sz w:val="24"/>
          <w:szCs w:val="24"/>
        </w:rPr>
        <w:t xml:space="preserve">from </w:t>
      </w:r>
      <w:proofErr w:type="spellStart"/>
      <w:r w:rsidRPr="002A6067">
        <w:rPr>
          <w:rFonts w:ascii="Bookman Old Style" w:eastAsia="Times New Roman" w:hAnsi="Bookman Old Style" w:cs="Times New Roman"/>
          <w:sz w:val="24"/>
          <w:szCs w:val="24"/>
        </w:rPr>
        <w:t>Chinsali</w:t>
      </w:r>
      <w:proofErr w:type="spellEnd"/>
      <w:r w:rsidRPr="002A6067">
        <w:rPr>
          <w:rFonts w:ascii="Bookman Old Style" w:eastAsia="Times New Roman" w:hAnsi="Bookman Old Style" w:cs="Times New Roman"/>
          <w:sz w:val="24"/>
          <w:szCs w:val="24"/>
        </w:rPr>
        <w:t xml:space="preserve">, Mansa and Lusaka </w:t>
      </w:r>
      <w:r>
        <w:rPr>
          <w:rFonts w:ascii="Bookman Old Style" w:eastAsia="Times New Roman" w:hAnsi="Bookman Old Style" w:cs="Times New Roman"/>
          <w:sz w:val="24"/>
          <w:szCs w:val="24"/>
        </w:rPr>
        <w:t xml:space="preserve">which </w:t>
      </w:r>
      <w:r w:rsidRPr="002A6067">
        <w:rPr>
          <w:rFonts w:ascii="Bookman Old Style" w:eastAsia="Times New Roman" w:hAnsi="Bookman Old Style" w:cs="Times New Roman"/>
          <w:sz w:val="24"/>
          <w:szCs w:val="24"/>
        </w:rPr>
        <w:t xml:space="preserve">involved suspects accused of murder who </w:t>
      </w:r>
      <w:r>
        <w:rPr>
          <w:rFonts w:ascii="Bookman Old Style" w:eastAsia="Times New Roman" w:hAnsi="Bookman Old Style" w:cs="Times New Roman"/>
          <w:sz w:val="24"/>
          <w:szCs w:val="24"/>
        </w:rPr>
        <w:t xml:space="preserve">had </w:t>
      </w:r>
      <w:r w:rsidRPr="002A6067">
        <w:rPr>
          <w:rFonts w:ascii="Bookman Old Style" w:eastAsia="Times New Roman" w:hAnsi="Bookman Old Style" w:cs="Times New Roman"/>
          <w:sz w:val="24"/>
          <w:szCs w:val="24"/>
        </w:rPr>
        <w:t xml:space="preserve">remained in police custody for </w:t>
      </w:r>
      <w:r>
        <w:rPr>
          <w:rFonts w:ascii="Bookman Old Style" w:eastAsia="Times New Roman" w:hAnsi="Bookman Old Style" w:cs="Times New Roman"/>
          <w:sz w:val="24"/>
          <w:szCs w:val="24"/>
        </w:rPr>
        <w:t xml:space="preserve">varying </w:t>
      </w:r>
      <w:r w:rsidRPr="002A6067">
        <w:rPr>
          <w:rFonts w:ascii="Bookman Old Style" w:eastAsia="Times New Roman" w:hAnsi="Bookman Old Style" w:cs="Times New Roman"/>
          <w:sz w:val="24"/>
          <w:szCs w:val="24"/>
        </w:rPr>
        <w:t xml:space="preserve">periods of </w:t>
      </w:r>
      <w:r>
        <w:rPr>
          <w:rFonts w:ascii="Bookman Old Style" w:eastAsia="Times New Roman" w:hAnsi="Bookman Old Style" w:cs="Times New Roman"/>
          <w:sz w:val="24"/>
          <w:szCs w:val="24"/>
        </w:rPr>
        <w:t xml:space="preserve">time </w:t>
      </w:r>
      <w:r w:rsidRPr="002A6067">
        <w:rPr>
          <w:rFonts w:ascii="Bookman Old Style" w:eastAsia="Times New Roman" w:hAnsi="Bookman Old Style" w:cs="Times New Roman"/>
          <w:sz w:val="24"/>
          <w:szCs w:val="24"/>
        </w:rPr>
        <w:t xml:space="preserve">up to 41 days, without being taken before court. Following the Commission’s engagement with the relevant authorities, </w:t>
      </w:r>
      <w:r>
        <w:rPr>
          <w:rFonts w:ascii="Bookman Old Style" w:eastAsia="Times New Roman" w:hAnsi="Bookman Old Style" w:cs="Times New Roman"/>
          <w:sz w:val="24"/>
          <w:szCs w:val="24"/>
        </w:rPr>
        <w:t>the</w:t>
      </w:r>
      <w:r w:rsidRPr="002A6067">
        <w:rPr>
          <w:rFonts w:ascii="Bookman Old Style" w:eastAsia="Times New Roman" w:hAnsi="Bookman Old Style" w:cs="Times New Roman"/>
          <w:sz w:val="24"/>
          <w:szCs w:val="24"/>
        </w:rPr>
        <w:t xml:space="preserve"> affected persons </w:t>
      </w:r>
      <w:r>
        <w:rPr>
          <w:rFonts w:ascii="Bookman Old Style" w:eastAsia="Times New Roman" w:hAnsi="Bookman Old Style" w:cs="Times New Roman"/>
          <w:sz w:val="24"/>
          <w:szCs w:val="24"/>
        </w:rPr>
        <w:t xml:space="preserve">were taken </w:t>
      </w:r>
      <w:r w:rsidRPr="002A6067">
        <w:rPr>
          <w:rFonts w:ascii="Bookman Old Style" w:eastAsia="Times New Roman" w:hAnsi="Bookman Old Style" w:cs="Times New Roman"/>
          <w:sz w:val="24"/>
          <w:szCs w:val="24"/>
        </w:rPr>
        <w:t>before court.</w:t>
      </w:r>
    </w:p>
    <w:p w14:paraId="4F5F0C3E" w14:textId="59FA6E10" w:rsidR="00961E0A" w:rsidRPr="002A6067" w:rsidRDefault="00961E0A" w:rsidP="00961E0A">
      <w:pPr>
        <w:spacing w:before="100" w:beforeAutospacing="1" w:after="100" w:afterAutospacing="1"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Delays in prosecuting cases was also observed in </w:t>
      </w:r>
      <w:r w:rsidR="005B4D26">
        <w:rPr>
          <w:rFonts w:ascii="Bookman Old Style" w:eastAsia="Times New Roman" w:hAnsi="Bookman Old Style" w:cs="Times New Roman"/>
          <w:sz w:val="24"/>
          <w:szCs w:val="24"/>
        </w:rPr>
        <w:t xml:space="preserve">prosecuting </w:t>
      </w:r>
      <w:r>
        <w:rPr>
          <w:rFonts w:ascii="Bookman Old Style" w:eastAsia="Times New Roman" w:hAnsi="Bookman Old Style" w:cs="Times New Roman"/>
          <w:sz w:val="24"/>
          <w:szCs w:val="24"/>
        </w:rPr>
        <w:t>sexual offences in which suspects were detained pending receipt of medical examination reports by law enforcement officers.</w:t>
      </w:r>
    </w:p>
    <w:p w14:paraId="354CF4C2" w14:textId="2FEA2DDB"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While post-mortem </w:t>
      </w:r>
      <w:r w:rsidR="00961E0A">
        <w:rPr>
          <w:rFonts w:ascii="Bookman Old Style" w:eastAsia="Times New Roman" w:hAnsi="Bookman Old Style" w:cs="Times New Roman"/>
          <w:sz w:val="24"/>
          <w:szCs w:val="24"/>
        </w:rPr>
        <w:t xml:space="preserve">and medical </w:t>
      </w:r>
      <w:r w:rsidRPr="002A6067">
        <w:rPr>
          <w:rFonts w:ascii="Bookman Old Style" w:eastAsia="Times New Roman" w:hAnsi="Bookman Old Style" w:cs="Times New Roman"/>
          <w:sz w:val="24"/>
          <w:szCs w:val="24"/>
        </w:rPr>
        <w:t xml:space="preserve">reports may be important to criminal investigations, administrative delays cannot justify </w:t>
      </w:r>
      <w:r w:rsidR="00961E0A">
        <w:rPr>
          <w:rFonts w:ascii="Bookman Old Style" w:eastAsia="Times New Roman" w:hAnsi="Bookman Old Style" w:cs="Times New Roman"/>
          <w:sz w:val="24"/>
          <w:szCs w:val="24"/>
        </w:rPr>
        <w:t xml:space="preserve">the </w:t>
      </w:r>
      <w:r w:rsidR="00961E0A" w:rsidRPr="002A6067">
        <w:rPr>
          <w:rFonts w:ascii="Bookman Old Style" w:eastAsia="Times New Roman" w:hAnsi="Bookman Old Style" w:cs="Times New Roman"/>
          <w:sz w:val="24"/>
          <w:szCs w:val="24"/>
        </w:rPr>
        <w:t>indefinite</w:t>
      </w:r>
      <w:r w:rsidR="00961E0A">
        <w:rPr>
          <w:rFonts w:ascii="Bookman Old Style" w:eastAsia="Times New Roman" w:hAnsi="Bookman Old Style" w:cs="Times New Roman"/>
          <w:sz w:val="24"/>
          <w:szCs w:val="24"/>
        </w:rPr>
        <w:t xml:space="preserve"> </w:t>
      </w:r>
      <w:r w:rsidRPr="002A6067">
        <w:rPr>
          <w:rFonts w:ascii="Bookman Old Style" w:eastAsia="Times New Roman" w:hAnsi="Bookman Old Style" w:cs="Times New Roman"/>
          <w:sz w:val="24"/>
          <w:szCs w:val="24"/>
        </w:rPr>
        <w:t xml:space="preserve">holding </w:t>
      </w:r>
      <w:r w:rsidR="00DB6FE6">
        <w:rPr>
          <w:rFonts w:ascii="Bookman Old Style" w:eastAsia="Times New Roman" w:hAnsi="Bookman Old Style" w:cs="Times New Roman"/>
          <w:sz w:val="24"/>
          <w:szCs w:val="24"/>
        </w:rPr>
        <w:t xml:space="preserve">of </w:t>
      </w:r>
      <w:r w:rsidRPr="002A6067">
        <w:rPr>
          <w:rFonts w:ascii="Bookman Old Style" w:eastAsia="Times New Roman" w:hAnsi="Bookman Old Style" w:cs="Times New Roman"/>
          <w:sz w:val="24"/>
          <w:szCs w:val="24"/>
        </w:rPr>
        <w:t xml:space="preserve">suspects without judicial oversight. A person arrested or detained on </w:t>
      </w:r>
      <w:r w:rsidRPr="002A6067">
        <w:rPr>
          <w:rFonts w:ascii="Bookman Old Style" w:eastAsia="Times New Roman" w:hAnsi="Bookman Old Style" w:cs="Times New Roman"/>
          <w:sz w:val="24"/>
          <w:szCs w:val="24"/>
        </w:rPr>
        <w:lastRenderedPageBreak/>
        <w:t xml:space="preserve">suspicion of </w:t>
      </w:r>
      <w:r w:rsidR="00DB6FE6">
        <w:rPr>
          <w:rFonts w:ascii="Bookman Old Style" w:eastAsia="Times New Roman" w:hAnsi="Bookman Old Style" w:cs="Times New Roman"/>
          <w:sz w:val="24"/>
          <w:szCs w:val="24"/>
        </w:rPr>
        <w:t xml:space="preserve">having </w:t>
      </w:r>
      <w:r w:rsidRPr="002A6067">
        <w:rPr>
          <w:rFonts w:ascii="Bookman Old Style" w:eastAsia="Times New Roman" w:hAnsi="Bookman Old Style" w:cs="Times New Roman"/>
          <w:sz w:val="24"/>
          <w:szCs w:val="24"/>
        </w:rPr>
        <w:t>committ</w:t>
      </w:r>
      <w:r w:rsidR="00DB6FE6">
        <w:rPr>
          <w:rFonts w:ascii="Bookman Old Style" w:eastAsia="Times New Roman" w:hAnsi="Bookman Old Style" w:cs="Times New Roman"/>
          <w:sz w:val="24"/>
          <w:szCs w:val="24"/>
        </w:rPr>
        <w:t>ed</w:t>
      </w:r>
      <w:r w:rsidRPr="002A6067">
        <w:rPr>
          <w:rFonts w:ascii="Bookman Old Style" w:eastAsia="Times New Roman" w:hAnsi="Bookman Old Style" w:cs="Times New Roman"/>
          <w:sz w:val="24"/>
          <w:szCs w:val="24"/>
        </w:rPr>
        <w:t xml:space="preserve"> an offence must be brought before a court without undue delay, in accordance with the </w:t>
      </w:r>
      <w:r w:rsidR="005B4D26">
        <w:rPr>
          <w:rFonts w:ascii="Bookman Old Style" w:eastAsia="Times New Roman" w:hAnsi="Bookman Old Style" w:cs="Times New Roman"/>
          <w:sz w:val="24"/>
          <w:szCs w:val="24"/>
        </w:rPr>
        <w:t>strict c</w:t>
      </w:r>
      <w:r w:rsidRPr="002A6067">
        <w:rPr>
          <w:rFonts w:ascii="Bookman Old Style" w:eastAsia="Times New Roman" w:hAnsi="Bookman Old Style" w:cs="Times New Roman"/>
          <w:sz w:val="24"/>
          <w:szCs w:val="24"/>
        </w:rPr>
        <w:t>onstitution</w:t>
      </w:r>
      <w:r w:rsidR="005B4D26">
        <w:rPr>
          <w:rFonts w:ascii="Bookman Old Style" w:eastAsia="Times New Roman" w:hAnsi="Bookman Old Style" w:cs="Times New Roman"/>
          <w:sz w:val="24"/>
          <w:szCs w:val="24"/>
        </w:rPr>
        <w:t>al</w:t>
      </w:r>
      <w:r w:rsidRPr="002A6067">
        <w:rPr>
          <w:rFonts w:ascii="Bookman Old Style" w:eastAsia="Times New Roman" w:hAnsi="Bookman Old Style" w:cs="Times New Roman"/>
          <w:sz w:val="24"/>
          <w:szCs w:val="24"/>
        </w:rPr>
        <w:t xml:space="preserve"> and </w:t>
      </w:r>
      <w:r w:rsidR="00DB6FE6">
        <w:rPr>
          <w:rFonts w:ascii="Bookman Old Style" w:eastAsia="Times New Roman" w:hAnsi="Bookman Old Style" w:cs="Times New Roman"/>
          <w:sz w:val="24"/>
          <w:szCs w:val="24"/>
        </w:rPr>
        <w:t xml:space="preserve">other </w:t>
      </w:r>
      <w:r w:rsidR="005B4D26">
        <w:rPr>
          <w:rFonts w:ascii="Bookman Old Style" w:eastAsia="Times New Roman" w:hAnsi="Bookman Old Style" w:cs="Times New Roman"/>
          <w:sz w:val="24"/>
          <w:szCs w:val="24"/>
        </w:rPr>
        <w:t>legislative timelines</w:t>
      </w:r>
      <w:r w:rsidRPr="002A6067">
        <w:rPr>
          <w:rFonts w:ascii="Bookman Old Style" w:eastAsia="Times New Roman" w:hAnsi="Bookman Old Style" w:cs="Times New Roman"/>
          <w:sz w:val="24"/>
          <w:szCs w:val="24"/>
        </w:rPr>
        <w:t>.</w:t>
      </w:r>
    </w:p>
    <w:p w14:paraId="66E00820" w14:textId="77777777" w:rsidR="00E852B2" w:rsidRPr="00AF77D9" w:rsidRDefault="00E852B2" w:rsidP="00E852B2">
      <w:pPr>
        <w:spacing w:before="100" w:beforeAutospacing="1" w:after="100" w:afterAutospacing="1" w:line="240" w:lineRule="auto"/>
        <w:jc w:val="both"/>
        <w:rPr>
          <w:rFonts w:ascii="Bookman Old Style" w:eastAsia="Times New Roman" w:hAnsi="Bookman Old Style" w:cs="Times New Roman"/>
          <w:b/>
          <w:sz w:val="24"/>
          <w:szCs w:val="24"/>
        </w:rPr>
      </w:pPr>
      <w:r w:rsidRPr="00AF77D9">
        <w:rPr>
          <w:rFonts w:ascii="Bookman Old Style" w:eastAsia="Times New Roman" w:hAnsi="Bookman Old Style" w:cs="Times New Roman"/>
          <w:b/>
          <w:sz w:val="24"/>
          <w:szCs w:val="24"/>
        </w:rPr>
        <w:t>Ladies and Gentlemen,</w:t>
      </w:r>
    </w:p>
    <w:p w14:paraId="3BA4A9F0" w14:textId="77777777"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The Commission also reviewed eight cases involving children in conflict with the law. </w:t>
      </w:r>
      <w:r w:rsidRPr="00F74653">
        <w:rPr>
          <w:rFonts w:ascii="Bookman Old Style" w:eastAsia="Times New Roman" w:hAnsi="Bookman Old Style" w:cs="Times New Roman"/>
          <w:sz w:val="24"/>
          <w:szCs w:val="24"/>
          <w:lang w:val="en-US"/>
        </w:rPr>
        <w:t>The Commission</w:t>
      </w:r>
      <w:r w:rsidRPr="002A6067">
        <w:rPr>
          <w:rFonts w:ascii="Bookman Old Style" w:eastAsia="Times New Roman" w:hAnsi="Bookman Old Style" w:cs="Times New Roman"/>
          <w:sz w:val="24"/>
          <w:szCs w:val="24"/>
        </w:rPr>
        <w:t xml:space="preserve"> remains concerned that, in some instances, children do not receive the safeguards and protection guaranteed under the Children’s Code Act, No. 12 of 2022.</w:t>
      </w:r>
    </w:p>
    <w:p w14:paraId="13D01147" w14:textId="3AA14998" w:rsidR="003865CA"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In </w:t>
      </w:r>
      <w:proofErr w:type="spellStart"/>
      <w:r w:rsidRPr="002A6067">
        <w:rPr>
          <w:rFonts w:ascii="Bookman Old Style" w:eastAsia="Times New Roman" w:hAnsi="Bookman Old Style" w:cs="Times New Roman"/>
          <w:sz w:val="24"/>
          <w:szCs w:val="24"/>
        </w:rPr>
        <w:t>Chinsali</w:t>
      </w:r>
      <w:proofErr w:type="spellEnd"/>
      <w:r w:rsidRPr="002A6067">
        <w:rPr>
          <w:rFonts w:ascii="Bookman Old Style" w:eastAsia="Times New Roman" w:hAnsi="Bookman Old Style" w:cs="Times New Roman"/>
          <w:sz w:val="24"/>
          <w:szCs w:val="24"/>
        </w:rPr>
        <w:t xml:space="preserve"> and Mansa, </w:t>
      </w:r>
      <w:r w:rsidR="003865CA">
        <w:rPr>
          <w:rFonts w:ascii="Bookman Old Style" w:eastAsia="Times New Roman" w:hAnsi="Bookman Old Style" w:cs="Times New Roman"/>
          <w:sz w:val="24"/>
          <w:szCs w:val="24"/>
        </w:rPr>
        <w:t xml:space="preserve">for instance, </w:t>
      </w:r>
      <w:r w:rsidRPr="002A6067">
        <w:rPr>
          <w:rFonts w:ascii="Bookman Old Style" w:eastAsia="Times New Roman" w:hAnsi="Bookman Old Style" w:cs="Times New Roman"/>
          <w:sz w:val="24"/>
          <w:szCs w:val="24"/>
        </w:rPr>
        <w:t xml:space="preserve">the Commission reviewed matters involving children who had remained in custody for more than five days without appearing before court. In another matter, a child had been detained in the same cell </w:t>
      </w:r>
      <w:r w:rsidR="00DB6FE6">
        <w:rPr>
          <w:rFonts w:ascii="Bookman Old Style" w:eastAsia="Times New Roman" w:hAnsi="Bookman Old Style" w:cs="Times New Roman"/>
          <w:sz w:val="24"/>
          <w:szCs w:val="24"/>
        </w:rPr>
        <w:t>with</w:t>
      </w:r>
      <w:r w:rsidRPr="002A6067">
        <w:rPr>
          <w:rFonts w:ascii="Bookman Old Style" w:eastAsia="Times New Roman" w:hAnsi="Bookman Old Style" w:cs="Times New Roman"/>
          <w:sz w:val="24"/>
          <w:szCs w:val="24"/>
        </w:rPr>
        <w:t xml:space="preserve"> adult offenders and the Department of Social Welfare had not been notified or engaged.</w:t>
      </w:r>
      <w:r w:rsidR="006924E8">
        <w:rPr>
          <w:rFonts w:ascii="Bookman Old Style" w:eastAsia="Times New Roman" w:hAnsi="Bookman Old Style" w:cs="Times New Roman"/>
          <w:sz w:val="24"/>
          <w:szCs w:val="24"/>
        </w:rPr>
        <w:t xml:space="preserve"> </w:t>
      </w:r>
      <w:r w:rsidR="00DB6FE6">
        <w:rPr>
          <w:rFonts w:ascii="Bookman Old Style" w:eastAsia="Times New Roman" w:hAnsi="Bookman Old Style" w:cs="Times New Roman"/>
          <w:sz w:val="24"/>
          <w:szCs w:val="24"/>
        </w:rPr>
        <w:t xml:space="preserve">In some cases, the delay in disposing off cases involving children was attributed to the non-availability of officers from the Department of Social Welfare. </w:t>
      </w:r>
    </w:p>
    <w:p w14:paraId="4243A09F" w14:textId="3A49283B"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Children who come into conflict with the law must be treated in a manner that respects their dignity, age and potential for rehabilitation and reintegration</w:t>
      </w:r>
      <w:r w:rsidR="00DB6FE6">
        <w:rPr>
          <w:rFonts w:ascii="Bookman Old Style" w:eastAsia="Times New Roman" w:hAnsi="Bookman Old Style" w:cs="Times New Roman"/>
          <w:sz w:val="24"/>
          <w:szCs w:val="24"/>
        </w:rPr>
        <w:t xml:space="preserve"> into society</w:t>
      </w:r>
      <w:r w:rsidRPr="002A6067">
        <w:rPr>
          <w:rFonts w:ascii="Bookman Old Style" w:eastAsia="Times New Roman" w:hAnsi="Bookman Old Style" w:cs="Times New Roman"/>
          <w:sz w:val="24"/>
          <w:szCs w:val="24"/>
        </w:rPr>
        <w:t xml:space="preserve">. Their best interests must </w:t>
      </w:r>
      <w:r w:rsidR="00DB6FE6">
        <w:rPr>
          <w:rFonts w:ascii="Bookman Old Style" w:eastAsia="Times New Roman" w:hAnsi="Bookman Old Style" w:cs="Times New Roman"/>
          <w:sz w:val="24"/>
          <w:szCs w:val="24"/>
        </w:rPr>
        <w:t xml:space="preserve">always </w:t>
      </w:r>
      <w:r w:rsidRPr="002A6067">
        <w:rPr>
          <w:rFonts w:ascii="Bookman Old Style" w:eastAsia="Times New Roman" w:hAnsi="Bookman Old Style" w:cs="Times New Roman"/>
          <w:sz w:val="24"/>
          <w:szCs w:val="24"/>
        </w:rPr>
        <w:t>remain a primary consideration in every decision affecting them.</w:t>
      </w:r>
    </w:p>
    <w:p w14:paraId="3775C3B6" w14:textId="77777777"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The Commission is working with the Department of Social Welfare and other relevant institutions to resolve these matters, protect the affected children and ensure that all interventions are guided by the best interests of the child. Parents, guardians, schools and public authorities have a shared responsibility to create environments in which children are protected from violence, intimidation, humiliation and other forms of abuse.</w:t>
      </w:r>
    </w:p>
    <w:p w14:paraId="6EAF34D7" w14:textId="77777777" w:rsidR="00E852B2" w:rsidRPr="00AF77D9" w:rsidRDefault="00E852B2" w:rsidP="00E852B2">
      <w:pPr>
        <w:spacing w:before="100" w:beforeAutospacing="1" w:after="100" w:afterAutospacing="1" w:line="240" w:lineRule="auto"/>
        <w:jc w:val="both"/>
        <w:outlineLvl w:val="2"/>
        <w:rPr>
          <w:rFonts w:ascii="Bookman Old Style" w:eastAsia="Times New Roman" w:hAnsi="Bookman Old Style" w:cs="Times New Roman"/>
          <w:b/>
          <w:bCs/>
          <w:sz w:val="24"/>
          <w:szCs w:val="24"/>
          <w:lang w:val="en-US"/>
        </w:rPr>
      </w:pPr>
      <w:r w:rsidRPr="00AF77D9">
        <w:rPr>
          <w:rFonts w:ascii="Bookman Old Style" w:eastAsia="Times New Roman" w:hAnsi="Bookman Old Style" w:cs="Times New Roman"/>
          <w:b/>
          <w:bCs/>
          <w:sz w:val="24"/>
          <w:szCs w:val="24"/>
          <w:lang w:val="en-US"/>
        </w:rPr>
        <w:t>Ladies and Gentlemen,</w:t>
      </w:r>
    </w:p>
    <w:p w14:paraId="528B12B7" w14:textId="03AA9007"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The Commission </w:t>
      </w:r>
      <w:r w:rsidR="00DB6FE6">
        <w:rPr>
          <w:rFonts w:ascii="Bookman Old Style" w:eastAsia="Times New Roman" w:hAnsi="Bookman Old Style" w:cs="Times New Roman"/>
          <w:sz w:val="24"/>
          <w:szCs w:val="24"/>
        </w:rPr>
        <w:t xml:space="preserve">takes this opportunity to </w:t>
      </w:r>
      <w:r w:rsidRPr="002A6067">
        <w:rPr>
          <w:rFonts w:ascii="Bookman Old Style" w:eastAsia="Times New Roman" w:hAnsi="Bookman Old Style" w:cs="Times New Roman"/>
          <w:sz w:val="24"/>
          <w:szCs w:val="24"/>
        </w:rPr>
        <w:t xml:space="preserve">acknowledge the cooperation </w:t>
      </w:r>
      <w:r w:rsidR="00DB6FE6">
        <w:rPr>
          <w:rFonts w:ascii="Bookman Old Style" w:eastAsia="Times New Roman" w:hAnsi="Bookman Old Style" w:cs="Times New Roman"/>
          <w:sz w:val="24"/>
          <w:szCs w:val="24"/>
        </w:rPr>
        <w:t xml:space="preserve">being </w:t>
      </w:r>
      <w:r w:rsidRPr="002A6067">
        <w:rPr>
          <w:rFonts w:ascii="Bookman Old Style" w:eastAsia="Times New Roman" w:hAnsi="Bookman Old Style" w:cs="Times New Roman"/>
          <w:sz w:val="24"/>
          <w:szCs w:val="24"/>
        </w:rPr>
        <w:t xml:space="preserve">received from the Zambia Correctional Service, the Department of Social Welfare, the Legal Aid Board and other relevant institutions during the </w:t>
      </w:r>
      <w:r w:rsidR="00AF77D9">
        <w:rPr>
          <w:rFonts w:ascii="Bookman Old Style" w:eastAsia="Times New Roman" w:hAnsi="Bookman Old Style" w:cs="Times New Roman"/>
          <w:sz w:val="24"/>
          <w:szCs w:val="24"/>
        </w:rPr>
        <w:t xml:space="preserve">process of </w:t>
      </w:r>
      <w:r w:rsidRPr="002A6067">
        <w:rPr>
          <w:rFonts w:ascii="Bookman Old Style" w:eastAsia="Times New Roman" w:hAnsi="Bookman Old Style" w:cs="Times New Roman"/>
          <w:sz w:val="24"/>
          <w:szCs w:val="24"/>
        </w:rPr>
        <w:t>investigati</w:t>
      </w:r>
      <w:r w:rsidR="00AF77D9">
        <w:rPr>
          <w:rFonts w:ascii="Bookman Old Style" w:eastAsia="Times New Roman" w:hAnsi="Bookman Old Style" w:cs="Times New Roman"/>
          <w:sz w:val="24"/>
          <w:szCs w:val="24"/>
        </w:rPr>
        <w:t>ng</w:t>
      </w:r>
      <w:r w:rsidRPr="002A6067">
        <w:rPr>
          <w:rFonts w:ascii="Bookman Old Style" w:eastAsia="Times New Roman" w:hAnsi="Bookman Old Style" w:cs="Times New Roman"/>
          <w:sz w:val="24"/>
          <w:szCs w:val="24"/>
        </w:rPr>
        <w:t xml:space="preserve"> and resol</w:t>
      </w:r>
      <w:r w:rsidR="00AF77D9">
        <w:rPr>
          <w:rFonts w:ascii="Bookman Old Style" w:eastAsia="Times New Roman" w:hAnsi="Bookman Old Style" w:cs="Times New Roman"/>
          <w:sz w:val="24"/>
          <w:szCs w:val="24"/>
        </w:rPr>
        <w:t>ving</w:t>
      </w:r>
      <w:r w:rsidRPr="002A6067">
        <w:rPr>
          <w:rFonts w:ascii="Bookman Old Style" w:eastAsia="Times New Roman" w:hAnsi="Bookman Old Style" w:cs="Times New Roman"/>
          <w:sz w:val="24"/>
          <w:szCs w:val="24"/>
        </w:rPr>
        <w:t xml:space="preserve"> </w:t>
      </w:r>
      <w:r w:rsidR="005B4D26">
        <w:rPr>
          <w:rFonts w:ascii="Bookman Old Style" w:eastAsia="Times New Roman" w:hAnsi="Bookman Old Style" w:cs="Times New Roman"/>
          <w:sz w:val="24"/>
          <w:szCs w:val="24"/>
        </w:rPr>
        <w:t>human rights</w:t>
      </w:r>
      <w:r w:rsidRPr="002A6067">
        <w:rPr>
          <w:rFonts w:ascii="Bookman Old Style" w:eastAsia="Times New Roman" w:hAnsi="Bookman Old Style" w:cs="Times New Roman"/>
          <w:sz w:val="24"/>
          <w:szCs w:val="24"/>
        </w:rPr>
        <w:t xml:space="preserve"> c</w:t>
      </w:r>
      <w:proofErr w:type="spellStart"/>
      <w:r w:rsidRPr="00F74653">
        <w:rPr>
          <w:rFonts w:ascii="Bookman Old Style" w:eastAsia="Times New Roman" w:hAnsi="Bookman Old Style" w:cs="Times New Roman"/>
          <w:sz w:val="24"/>
          <w:szCs w:val="24"/>
          <w:lang w:val="en-US"/>
        </w:rPr>
        <w:t>ases</w:t>
      </w:r>
      <w:proofErr w:type="spellEnd"/>
      <w:r w:rsidRPr="002A6067">
        <w:rPr>
          <w:rFonts w:ascii="Bookman Old Style" w:eastAsia="Times New Roman" w:hAnsi="Bookman Old Style" w:cs="Times New Roman"/>
          <w:sz w:val="24"/>
          <w:szCs w:val="24"/>
        </w:rPr>
        <w:t>.</w:t>
      </w:r>
    </w:p>
    <w:p w14:paraId="3C59E500" w14:textId="5F808001"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Through </w:t>
      </w:r>
      <w:r w:rsidR="00AF77D9">
        <w:rPr>
          <w:rFonts w:ascii="Bookman Old Style" w:eastAsia="Times New Roman" w:hAnsi="Bookman Old Style" w:cs="Times New Roman"/>
          <w:sz w:val="24"/>
          <w:szCs w:val="24"/>
        </w:rPr>
        <w:t>these cooperative</w:t>
      </w:r>
      <w:r w:rsidRPr="002A6067">
        <w:rPr>
          <w:rFonts w:ascii="Bookman Old Style" w:eastAsia="Times New Roman" w:hAnsi="Bookman Old Style" w:cs="Times New Roman"/>
          <w:sz w:val="24"/>
          <w:szCs w:val="24"/>
        </w:rPr>
        <w:t xml:space="preserve"> engagements</w:t>
      </w:r>
      <w:r w:rsidR="00AF77D9">
        <w:rPr>
          <w:rFonts w:ascii="Bookman Old Style" w:eastAsia="Times New Roman" w:hAnsi="Bookman Old Style" w:cs="Times New Roman"/>
          <w:sz w:val="24"/>
          <w:szCs w:val="24"/>
        </w:rPr>
        <w:t xml:space="preserve"> with stakeholders</w:t>
      </w:r>
      <w:r w:rsidRPr="002A6067">
        <w:rPr>
          <w:rFonts w:ascii="Bookman Old Style" w:eastAsia="Times New Roman" w:hAnsi="Bookman Old Style" w:cs="Times New Roman"/>
          <w:sz w:val="24"/>
          <w:szCs w:val="24"/>
        </w:rPr>
        <w:t>, the Commission facilitated various forms of redress, including:</w:t>
      </w:r>
    </w:p>
    <w:p w14:paraId="5FB307C4" w14:textId="77777777" w:rsidR="00E852B2" w:rsidRPr="002A6067" w:rsidRDefault="00E852B2" w:rsidP="00E852B2">
      <w:pPr>
        <w:numPr>
          <w:ilvl w:val="0"/>
          <w:numId w:val="9"/>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Access to healthcare;</w:t>
      </w:r>
    </w:p>
    <w:p w14:paraId="723DD114" w14:textId="284E3250" w:rsidR="00E852B2" w:rsidRPr="002A6067" w:rsidRDefault="00E852B2" w:rsidP="00E852B2">
      <w:pPr>
        <w:numPr>
          <w:ilvl w:val="0"/>
          <w:numId w:val="9"/>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Release of </w:t>
      </w:r>
      <w:r w:rsidR="00AF77D9">
        <w:rPr>
          <w:rFonts w:ascii="Bookman Old Style" w:eastAsia="Times New Roman" w:hAnsi="Bookman Old Style" w:cs="Times New Roman"/>
          <w:sz w:val="24"/>
          <w:szCs w:val="24"/>
        </w:rPr>
        <w:t xml:space="preserve">incarcerated </w:t>
      </w:r>
      <w:r w:rsidRPr="002A6067">
        <w:rPr>
          <w:rFonts w:ascii="Bookman Old Style" w:eastAsia="Times New Roman" w:hAnsi="Bookman Old Style" w:cs="Times New Roman"/>
          <w:sz w:val="24"/>
          <w:szCs w:val="24"/>
        </w:rPr>
        <w:t>persons where appropriate;</w:t>
      </w:r>
    </w:p>
    <w:p w14:paraId="488AD52A" w14:textId="77777777" w:rsidR="00E852B2" w:rsidRPr="002A6067" w:rsidRDefault="00E852B2" w:rsidP="00E852B2">
      <w:pPr>
        <w:numPr>
          <w:ilvl w:val="0"/>
          <w:numId w:val="9"/>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Diversion of children in conflict with the law;</w:t>
      </w:r>
    </w:p>
    <w:p w14:paraId="1120917D" w14:textId="77777777" w:rsidR="00E852B2" w:rsidRPr="002A6067" w:rsidRDefault="00E852B2" w:rsidP="00E852B2">
      <w:pPr>
        <w:numPr>
          <w:ilvl w:val="0"/>
          <w:numId w:val="9"/>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Access to legal assistance;</w:t>
      </w:r>
    </w:p>
    <w:p w14:paraId="297A2B19" w14:textId="77777777" w:rsidR="00E852B2" w:rsidRPr="002A6067" w:rsidRDefault="00E852B2" w:rsidP="00E852B2">
      <w:pPr>
        <w:numPr>
          <w:ilvl w:val="0"/>
          <w:numId w:val="9"/>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Progression of delayed criminal matters; and</w:t>
      </w:r>
    </w:p>
    <w:p w14:paraId="4ED42AE2" w14:textId="77777777" w:rsidR="00E852B2" w:rsidRPr="002A6067" w:rsidRDefault="00E852B2" w:rsidP="00E852B2">
      <w:pPr>
        <w:numPr>
          <w:ilvl w:val="0"/>
          <w:numId w:val="9"/>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Resolution of complaints through mediation and institutional engagement.</w:t>
      </w:r>
    </w:p>
    <w:p w14:paraId="40D21359" w14:textId="77777777" w:rsidR="005B4D26"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lastRenderedPageBreak/>
        <w:t>These interventions demonstrate the importance of cooperation among duty bearers in promoting compliance with human rights standards, correcting violations and ensuring effective remedies for affected persons.</w:t>
      </w:r>
      <w:r w:rsidR="005B4D26">
        <w:rPr>
          <w:rFonts w:ascii="Bookman Old Style" w:eastAsia="Times New Roman" w:hAnsi="Bookman Old Style" w:cs="Times New Roman"/>
          <w:sz w:val="24"/>
          <w:szCs w:val="24"/>
        </w:rPr>
        <w:t xml:space="preserve"> </w:t>
      </w:r>
    </w:p>
    <w:p w14:paraId="3C7E00E9" w14:textId="49886E69" w:rsidR="00E852B2" w:rsidRPr="002A6067" w:rsidRDefault="00AF77D9" w:rsidP="00E852B2">
      <w:pPr>
        <w:spacing w:before="100" w:beforeAutospacing="1" w:after="100" w:afterAutospacing="1"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 xml:space="preserve">The Commission calls upon </w:t>
      </w:r>
      <w:r w:rsidR="005B4D26">
        <w:rPr>
          <w:rFonts w:ascii="Bookman Old Style" w:eastAsia="Times New Roman" w:hAnsi="Bookman Old Style" w:cs="Times New Roman"/>
          <w:sz w:val="24"/>
          <w:szCs w:val="24"/>
        </w:rPr>
        <w:t xml:space="preserve">all </w:t>
      </w:r>
      <w:r>
        <w:rPr>
          <w:rFonts w:ascii="Bookman Old Style" w:eastAsia="Times New Roman" w:hAnsi="Bookman Old Style" w:cs="Times New Roman"/>
          <w:sz w:val="24"/>
          <w:szCs w:val="24"/>
        </w:rPr>
        <w:t>stakeholders to embrace</w:t>
      </w:r>
      <w:r w:rsidR="00E852B2" w:rsidRPr="002A6067">
        <w:rPr>
          <w:rFonts w:ascii="Bookman Old Style" w:eastAsia="Times New Roman" w:hAnsi="Bookman Old Style" w:cs="Times New Roman"/>
          <w:sz w:val="24"/>
          <w:szCs w:val="24"/>
        </w:rPr>
        <w:t xml:space="preserve"> institutional cooperation </w:t>
      </w:r>
      <w:r>
        <w:rPr>
          <w:rFonts w:ascii="Bookman Old Style" w:eastAsia="Times New Roman" w:hAnsi="Bookman Old Style" w:cs="Times New Roman"/>
          <w:sz w:val="24"/>
          <w:szCs w:val="24"/>
        </w:rPr>
        <w:t>so that</w:t>
      </w:r>
      <w:r w:rsidR="00E852B2" w:rsidRPr="002A6067">
        <w:rPr>
          <w:rFonts w:ascii="Bookman Old Style" w:eastAsia="Times New Roman" w:hAnsi="Bookman Old Style" w:cs="Times New Roman"/>
          <w:sz w:val="24"/>
          <w:szCs w:val="24"/>
        </w:rPr>
        <w:t xml:space="preserve"> </w:t>
      </w:r>
      <w:r>
        <w:rPr>
          <w:rFonts w:ascii="Bookman Old Style" w:eastAsia="Times New Roman" w:hAnsi="Bookman Old Style" w:cs="Times New Roman"/>
          <w:sz w:val="24"/>
          <w:szCs w:val="24"/>
        </w:rPr>
        <w:t xml:space="preserve">workable </w:t>
      </w:r>
      <w:r w:rsidR="00E852B2" w:rsidRPr="002A6067">
        <w:rPr>
          <w:rFonts w:ascii="Bookman Old Style" w:eastAsia="Times New Roman" w:hAnsi="Bookman Old Style" w:cs="Times New Roman"/>
          <w:sz w:val="24"/>
          <w:szCs w:val="24"/>
        </w:rPr>
        <w:t>measure</w:t>
      </w:r>
      <w:r>
        <w:rPr>
          <w:rFonts w:ascii="Bookman Old Style" w:eastAsia="Times New Roman" w:hAnsi="Bookman Old Style" w:cs="Times New Roman"/>
          <w:sz w:val="24"/>
          <w:szCs w:val="24"/>
        </w:rPr>
        <w:t>s</w:t>
      </w:r>
      <w:r w:rsidR="005B4D26">
        <w:rPr>
          <w:rFonts w:ascii="Bookman Old Style" w:eastAsia="Times New Roman" w:hAnsi="Bookman Old Style" w:cs="Times New Roman"/>
          <w:sz w:val="24"/>
          <w:szCs w:val="24"/>
        </w:rPr>
        <w:t xml:space="preserve"> can be implemented</w:t>
      </w:r>
      <w:r>
        <w:rPr>
          <w:rFonts w:ascii="Bookman Old Style" w:eastAsia="Times New Roman" w:hAnsi="Bookman Old Style" w:cs="Times New Roman"/>
          <w:sz w:val="24"/>
          <w:szCs w:val="24"/>
        </w:rPr>
        <w:t xml:space="preserve"> to</w:t>
      </w:r>
      <w:r w:rsidR="005B4D26">
        <w:rPr>
          <w:rFonts w:ascii="Bookman Old Style" w:eastAsia="Times New Roman" w:hAnsi="Bookman Old Style" w:cs="Times New Roman"/>
          <w:sz w:val="24"/>
          <w:szCs w:val="24"/>
        </w:rPr>
        <w:t>wards</w:t>
      </w:r>
      <w:r>
        <w:rPr>
          <w:rFonts w:ascii="Bookman Old Style" w:eastAsia="Times New Roman" w:hAnsi="Bookman Old Style" w:cs="Times New Roman"/>
          <w:sz w:val="24"/>
          <w:szCs w:val="24"/>
        </w:rPr>
        <w:t xml:space="preserve"> </w:t>
      </w:r>
      <w:r w:rsidR="00E852B2" w:rsidRPr="002A6067">
        <w:rPr>
          <w:rFonts w:ascii="Bookman Old Style" w:eastAsia="Times New Roman" w:hAnsi="Bookman Old Style" w:cs="Times New Roman"/>
          <w:sz w:val="24"/>
          <w:szCs w:val="24"/>
        </w:rPr>
        <w:t>address</w:t>
      </w:r>
      <w:r w:rsidR="005B4D26">
        <w:rPr>
          <w:rFonts w:ascii="Bookman Old Style" w:eastAsia="Times New Roman" w:hAnsi="Bookman Old Style" w:cs="Times New Roman"/>
          <w:sz w:val="24"/>
          <w:szCs w:val="24"/>
        </w:rPr>
        <w:t>ing</w:t>
      </w:r>
      <w:r w:rsidR="00E852B2" w:rsidRPr="002A6067">
        <w:rPr>
          <w:rFonts w:ascii="Bookman Old Style" w:eastAsia="Times New Roman" w:hAnsi="Bookman Old Style" w:cs="Times New Roman"/>
          <w:sz w:val="24"/>
          <w:szCs w:val="24"/>
        </w:rPr>
        <w:t xml:space="preserve"> the underlying systemic causes of recurring </w:t>
      </w:r>
      <w:r>
        <w:rPr>
          <w:rFonts w:ascii="Bookman Old Style" w:eastAsia="Times New Roman" w:hAnsi="Bookman Old Style" w:cs="Times New Roman"/>
          <w:sz w:val="24"/>
          <w:szCs w:val="24"/>
        </w:rPr>
        <w:t xml:space="preserve">human rights </w:t>
      </w:r>
      <w:r w:rsidR="00E852B2" w:rsidRPr="002A6067">
        <w:rPr>
          <w:rFonts w:ascii="Bookman Old Style" w:eastAsia="Times New Roman" w:hAnsi="Bookman Old Style" w:cs="Times New Roman"/>
          <w:sz w:val="24"/>
          <w:szCs w:val="24"/>
        </w:rPr>
        <w:t>violations.</w:t>
      </w:r>
    </w:p>
    <w:p w14:paraId="15A82FEE" w14:textId="39719AF2" w:rsidR="00E852B2" w:rsidRPr="002A6067" w:rsidRDefault="00E852B2" w:rsidP="00E852B2">
      <w:p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 xml:space="preserve">In light of the </w:t>
      </w:r>
      <w:r w:rsidR="00AF77D9">
        <w:rPr>
          <w:rFonts w:ascii="Bookman Old Style" w:eastAsia="Times New Roman" w:hAnsi="Bookman Old Style" w:cs="Times New Roman"/>
          <w:sz w:val="24"/>
          <w:szCs w:val="24"/>
        </w:rPr>
        <w:t xml:space="preserve">identified </w:t>
      </w:r>
      <w:r w:rsidRPr="002A6067">
        <w:rPr>
          <w:rFonts w:ascii="Bookman Old Style" w:eastAsia="Times New Roman" w:hAnsi="Bookman Old Style" w:cs="Times New Roman"/>
          <w:sz w:val="24"/>
          <w:szCs w:val="24"/>
        </w:rPr>
        <w:t>concerns</w:t>
      </w:r>
      <w:r w:rsidR="005B4D26">
        <w:rPr>
          <w:rFonts w:ascii="Bookman Old Style" w:eastAsia="Times New Roman" w:hAnsi="Bookman Old Style" w:cs="Times New Roman"/>
          <w:sz w:val="24"/>
          <w:szCs w:val="24"/>
        </w:rPr>
        <w:t>,</w:t>
      </w:r>
      <w:r w:rsidRPr="002A6067">
        <w:rPr>
          <w:rFonts w:ascii="Bookman Old Style" w:eastAsia="Times New Roman" w:hAnsi="Bookman Old Style" w:cs="Times New Roman"/>
          <w:sz w:val="24"/>
          <w:szCs w:val="24"/>
        </w:rPr>
        <w:t xml:space="preserve"> </w:t>
      </w:r>
      <w:r w:rsidR="005B4D26">
        <w:rPr>
          <w:rFonts w:ascii="Bookman Old Style" w:eastAsia="Times New Roman" w:hAnsi="Bookman Old Style" w:cs="Times New Roman"/>
          <w:sz w:val="24"/>
          <w:szCs w:val="24"/>
        </w:rPr>
        <w:t>t</w:t>
      </w:r>
      <w:r w:rsidRPr="002A6067">
        <w:rPr>
          <w:rFonts w:ascii="Bookman Old Style" w:eastAsia="Times New Roman" w:hAnsi="Bookman Old Style" w:cs="Times New Roman"/>
          <w:sz w:val="24"/>
          <w:szCs w:val="24"/>
        </w:rPr>
        <w:t>he Commission will:</w:t>
      </w:r>
    </w:p>
    <w:p w14:paraId="70438829" w14:textId="77777777" w:rsidR="00E852B2" w:rsidRPr="002A6067" w:rsidRDefault="00E852B2" w:rsidP="00E852B2">
      <w:pPr>
        <w:numPr>
          <w:ilvl w:val="0"/>
          <w:numId w:val="10"/>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Continue engaging justice-sector institutions to strengthen compliance with constitutional safeguards relating to arrest, detention, police bond, access to courts and the timely conclusion of criminal matters.</w:t>
      </w:r>
    </w:p>
    <w:p w14:paraId="69CB90C4" w14:textId="77777777" w:rsidR="00E852B2" w:rsidRPr="002A6067" w:rsidRDefault="00E852B2" w:rsidP="00E852B2">
      <w:pPr>
        <w:numPr>
          <w:ilvl w:val="0"/>
          <w:numId w:val="10"/>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Strengthen engagement with law enforcement agencies to promote the lawful, necessary, reasonable and proportionate use of arrest</w:t>
      </w:r>
      <w:r w:rsidRPr="00F74653">
        <w:rPr>
          <w:rFonts w:ascii="Bookman Old Style" w:eastAsia="Times New Roman" w:hAnsi="Bookman Old Style" w:cs="Times New Roman"/>
          <w:sz w:val="24"/>
          <w:szCs w:val="24"/>
          <w:lang w:val="en-US"/>
        </w:rPr>
        <w:t xml:space="preserve"> and</w:t>
      </w:r>
      <w:r w:rsidRPr="002A6067">
        <w:rPr>
          <w:rFonts w:ascii="Bookman Old Style" w:eastAsia="Times New Roman" w:hAnsi="Bookman Old Style" w:cs="Times New Roman"/>
          <w:sz w:val="24"/>
          <w:szCs w:val="24"/>
        </w:rPr>
        <w:t xml:space="preserve"> detention</w:t>
      </w:r>
      <w:r w:rsidRPr="00F74653">
        <w:rPr>
          <w:rFonts w:ascii="Bookman Old Style" w:eastAsia="Times New Roman" w:hAnsi="Bookman Old Style" w:cs="Times New Roman"/>
          <w:sz w:val="24"/>
          <w:szCs w:val="24"/>
          <w:lang w:val="en-US"/>
        </w:rPr>
        <w:t xml:space="preserve">, </w:t>
      </w:r>
      <w:r w:rsidRPr="002A6067">
        <w:rPr>
          <w:rFonts w:ascii="Bookman Old Style" w:eastAsia="Times New Roman" w:hAnsi="Bookman Old Style" w:cs="Times New Roman"/>
          <w:sz w:val="24"/>
          <w:szCs w:val="24"/>
        </w:rPr>
        <w:t>while encouraging appropriate alternatives to detention, particularly for minor offences.</w:t>
      </w:r>
    </w:p>
    <w:p w14:paraId="417DA36B" w14:textId="77777777" w:rsidR="00E852B2" w:rsidRPr="002A6067" w:rsidRDefault="00E852B2" w:rsidP="00E852B2">
      <w:pPr>
        <w:numPr>
          <w:ilvl w:val="0"/>
          <w:numId w:val="10"/>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Continue collaborating with child</w:t>
      </w:r>
      <w:r w:rsidRPr="00F74653">
        <w:rPr>
          <w:rFonts w:ascii="Bookman Old Style" w:eastAsia="Times New Roman" w:hAnsi="Bookman Old Style" w:cs="Times New Roman"/>
          <w:sz w:val="24"/>
          <w:szCs w:val="24"/>
          <w:lang w:val="en-US"/>
        </w:rPr>
        <w:t xml:space="preserve"> </w:t>
      </w:r>
      <w:r w:rsidRPr="002A6067">
        <w:rPr>
          <w:rFonts w:ascii="Bookman Old Style" w:eastAsia="Times New Roman" w:hAnsi="Bookman Old Style" w:cs="Times New Roman"/>
          <w:sz w:val="24"/>
          <w:szCs w:val="24"/>
        </w:rPr>
        <w:t>protection institutions to strengthen compliance with the Children’s Code Act,</w:t>
      </w:r>
      <w:r w:rsidRPr="00F74653">
        <w:rPr>
          <w:rFonts w:ascii="Bookman Old Style" w:eastAsia="Times New Roman" w:hAnsi="Bookman Old Style" w:cs="Times New Roman"/>
          <w:sz w:val="24"/>
          <w:szCs w:val="24"/>
          <w:lang w:val="en-US"/>
        </w:rPr>
        <w:t xml:space="preserve"> </w:t>
      </w:r>
      <w:r w:rsidRPr="002A6067">
        <w:rPr>
          <w:rFonts w:ascii="Bookman Old Style" w:eastAsia="Times New Roman" w:hAnsi="Bookman Old Style" w:cs="Times New Roman"/>
          <w:sz w:val="24"/>
          <w:szCs w:val="24"/>
        </w:rPr>
        <w:t>particularly regarding diversion, separation of children from adult detainees and protection of the dignity and best interests of children in conflict with the law.</w:t>
      </w:r>
    </w:p>
    <w:p w14:paraId="0BF30F26" w14:textId="77777777" w:rsidR="00E852B2" w:rsidRPr="002A6067" w:rsidRDefault="00E852B2" w:rsidP="00E852B2">
      <w:pPr>
        <w:numPr>
          <w:ilvl w:val="0"/>
          <w:numId w:val="10"/>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Engage institutions responsible for labour, health, education, compensation and social services to promote compliance with applicable laws and facilitate access to effective remedies.</w:t>
      </w:r>
    </w:p>
    <w:p w14:paraId="0698DF07" w14:textId="77777777" w:rsidR="00E852B2" w:rsidRPr="002A6067" w:rsidRDefault="00E852B2" w:rsidP="00E852B2">
      <w:pPr>
        <w:numPr>
          <w:ilvl w:val="0"/>
          <w:numId w:val="10"/>
        </w:numPr>
        <w:spacing w:before="100" w:beforeAutospacing="1" w:after="100" w:afterAutospacing="1" w:line="240" w:lineRule="auto"/>
        <w:jc w:val="both"/>
        <w:rPr>
          <w:rFonts w:ascii="Bookman Old Style" w:eastAsia="Times New Roman" w:hAnsi="Bookman Old Style" w:cs="Times New Roman"/>
          <w:sz w:val="24"/>
          <w:szCs w:val="24"/>
        </w:rPr>
      </w:pPr>
      <w:r w:rsidRPr="002A6067">
        <w:rPr>
          <w:rFonts w:ascii="Bookman Old Style" w:eastAsia="Times New Roman" w:hAnsi="Bookman Old Style" w:cs="Times New Roman"/>
          <w:sz w:val="24"/>
          <w:szCs w:val="24"/>
        </w:rPr>
        <w:t>Advocate for improved coordination and timely delivery of post-mortem reports and other forensic services to prevent unnecessarily prolonged detention.</w:t>
      </w:r>
    </w:p>
    <w:p w14:paraId="6F7FB32A" w14:textId="77777777" w:rsidR="000556A9" w:rsidRPr="00AF77D9" w:rsidRDefault="000556A9" w:rsidP="00C60F3A">
      <w:pPr>
        <w:spacing w:before="100" w:beforeAutospacing="1" w:after="100" w:afterAutospacing="1" w:line="240" w:lineRule="auto"/>
        <w:jc w:val="both"/>
        <w:rPr>
          <w:rFonts w:ascii="Bookman Old Style" w:eastAsia="Times New Roman" w:hAnsi="Bookman Old Style" w:cs="Times New Roman"/>
          <w:b/>
          <w:sz w:val="24"/>
          <w:szCs w:val="24"/>
        </w:rPr>
      </w:pPr>
      <w:r w:rsidRPr="00AF77D9">
        <w:rPr>
          <w:rFonts w:ascii="Bookman Old Style" w:eastAsia="Times New Roman" w:hAnsi="Bookman Old Style" w:cs="Times New Roman"/>
          <w:b/>
          <w:sz w:val="24"/>
          <w:szCs w:val="24"/>
        </w:rPr>
        <w:t>Ladies and gentlemen,</w:t>
      </w:r>
    </w:p>
    <w:p w14:paraId="11095097"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 xml:space="preserve">Allow me to now reflect on the situation of human rights during this pre-election period. </w:t>
      </w:r>
    </w:p>
    <w:p w14:paraId="2D656DEC" w14:textId="25FB6D0C"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 xml:space="preserve">Elections are an important expression of democracy, providing citizens with an opportunity to exercise their constitutional right to participate in public affairs and to freely choose their leaders. However, the value of an election is not only measured by the </w:t>
      </w:r>
      <w:r w:rsidR="00E55A0C">
        <w:rPr>
          <w:rFonts w:ascii="Bookman Old Style" w:eastAsia="Times New Roman" w:hAnsi="Bookman Old Style" w:cs="Times New Roman"/>
          <w:sz w:val="24"/>
          <w:szCs w:val="24"/>
        </w:rPr>
        <w:t xml:space="preserve">act of </w:t>
      </w:r>
      <w:r w:rsidRPr="00F74653">
        <w:rPr>
          <w:rFonts w:ascii="Bookman Old Style" w:eastAsia="Times New Roman" w:hAnsi="Bookman Old Style" w:cs="Times New Roman"/>
          <w:sz w:val="24"/>
          <w:szCs w:val="24"/>
        </w:rPr>
        <w:t xml:space="preserve">casting </w:t>
      </w:r>
      <w:r w:rsidR="00E55A0C">
        <w:rPr>
          <w:rFonts w:ascii="Bookman Old Style" w:eastAsia="Times New Roman" w:hAnsi="Bookman Old Style" w:cs="Times New Roman"/>
          <w:sz w:val="24"/>
          <w:szCs w:val="24"/>
        </w:rPr>
        <w:t>a</w:t>
      </w:r>
      <w:r w:rsidRPr="00F74653">
        <w:rPr>
          <w:rFonts w:ascii="Bookman Old Style" w:eastAsia="Times New Roman" w:hAnsi="Bookman Old Style" w:cs="Times New Roman"/>
          <w:sz w:val="24"/>
          <w:szCs w:val="24"/>
        </w:rPr>
        <w:t xml:space="preserve"> ballot, but also the extent to which every person </w:t>
      </w:r>
      <w:r w:rsidR="00E55A0C">
        <w:rPr>
          <w:rFonts w:ascii="Bookman Old Style" w:eastAsia="Times New Roman" w:hAnsi="Bookman Old Style" w:cs="Times New Roman"/>
          <w:sz w:val="24"/>
          <w:szCs w:val="24"/>
        </w:rPr>
        <w:t>is</w:t>
      </w:r>
      <w:r w:rsidRPr="00F74653">
        <w:rPr>
          <w:rFonts w:ascii="Bookman Old Style" w:eastAsia="Times New Roman" w:hAnsi="Bookman Old Style" w:cs="Times New Roman"/>
          <w:sz w:val="24"/>
          <w:szCs w:val="24"/>
        </w:rPr>
        <w:t xml:space="preserve"> guaranteed free, safe and dignified participation. A peaceful electoral process requires utmost respect for human rights, a high level of tolerance for divergent views and </w:t>
      </w:r>
      <w:r w:rsidR="00E55A0C">
        <w:rPr>
          <w:rFonts w:ascii="Bookman Old Style" w:eastAsia="Times New Roman" w:hAnsi="Bookman Old Style" w:cs="Times New Roman"/>
          <w:sz w:val="24"/>
          <w:szCs w:val="24"/>
        </w:rPr>
        <w:t xml:space="preserve">a </w:t>
      </w:r>
      <w:r w:rsidRPr="00F74653">
        <w:rPr>
          <w:rFonts w:ascii="Bookman Old Style" w:eastAsia="Times New Roman" w:hAnsi="Bookman Old Style" w:cs="Times New Roman"/>
          <w:sz w:val="24"/>
          <w:szCs w:val="24"/>
        </w:rPr>
        <w:t>total commitment to reject intimidation, violence and discrimination. This message goes out to all political actors and stakeholders without exception.</w:t>
      </w:r>
    </w:p>
    <w:p w14:paraId="2736D200"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It is within the context of having a free, fair and peaceful electoral process that the Commission highlights concerns that may affect the enjoyment of human rights and undermine a peaceful, inclusive and rights-respecting electoral process.</w:t>
      </w:r>
    </w:p>
    <w:p w14:paraId="7D23069D"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lastRenderedPageBreak/>
        <w:t>The Commission has observed isolated incidents of political violence, intimidation, inflammatory language and intolerance among political actors and their supporters. Such actions have no place in a democratic society. Violence and threats of violence undermine fundamental human rights and freedoms, including the right to life, security of the person, freedom of expression, freedom of association and assembly and the right to participate in public affairs without fear or intimidation.</w:t>
      </w:r>
    </w:p>
    <w:p w14:paraId="2068FFAD" w14:textId="4CAABFD4" w:rsidR="00516A1B" w:rsidRPr="00F74653" w:rsidRDefault="000556A9" w:rsidP="00C60F3A">
      <w:pPr>
        <w:pStyle w:val="pdq2pgselectionanchorcontainer"/>
        <w:jc w:val="both"/>
        <w:rPr>
          <w:rFonts w:ascii="Bookman Old Style" w:hAnsi="Bookman Old Style"/>
        </w:rPr>
      </w:pPr>
      <w:r w:rsidRPr="00F74653">
        <w:rPr>
          <w:rFonts w:ascii="Bookman Old Style" w:hAnsi="Bookman Old Style"/>
        </w:rPr>
        <w:t xml:space="preserve">Of particular concern to the Commission, are the reported incidents of political violence that have resulted in loss of life. Examples include the deaths of Mr Nelson </w:t>
      </w:r>
      <w:proofErr w:type="spellStart"/>
      <w:r w:rsidRPr="00F74653">
        <w:rPr>
          <w:rFonts w:ascii="Bookman Old Style" w:hAnsi="Bookman Old Style"/>
        </w:rPr>
        <w:t>Chikumbi</w:t>
      </w:r>
      <w:proofErr w:type="spellEnd"/>
      <w:r w:rsidRPr="00F74653">
        <w:rPr>
          <w:rFonts w:ascii="Bookman Old Style" w:hAnsi="Bookman Old Style"/>
        </w:rPr>
        <w:t xml:space="preserve"> in Lusaka, Mr Stanley </w:t>
      </w:r>
      <w:proofErr w:type="spellStart"/>
      <w:r w:rsidRPr="00F74653">
        <w:rPr>
          <w:rFonts w:ascii="Bookman Old Style" w:hAnsi="Bookman Old Style"/>
        </w:rPr>
        <w:t>Sakala</w:t>
      </w:r>
      <w:proofErr w:type="spellEnd"/>
      <w:r w:rsidRPr="00F74653">
        <w:rPr>
          <w:rFonts w:ascii="Bookman Old Style" w:hAnsi="Bookman Old Style"/>
        </w:rPr>
        <w:t xml:space="preserve"> of </w:t>
      </w:r>
      <w:proofErr w:type="spellStart"/>
      <w:r w:rsidRPr="00F74653">
        <w:rPr>
          <w:rFonts w:ascii="Bookman Old Style" w:hAnsi="Bookman Old Style"/>
        </w:rPr>
        <w:t>Chivuna</w:t>
      </w:r>
      <w:proofErr w:type="spellEnd"/>
      <w:r w:rsidRPr="00F74653">
        <w:rPr>
          <w:rFonts w:ascii="Bookman Old Style" w:hAnsi="Bookman Old Style"/>
        </w:rPr>
        <w:t xml:space="preserve"> Village in </w:t>
      </w:r>
      <w:proofErr w:type="spellStart"/>
      <w:r w:rsidRPr="00F74653">
        <w:rPr>
          <w:rFonts w:ascii="Bookman Old Style" w:hAnsi="Bookman Old Style"/>
        </w:rPr>
        <w:t>Magoye</w:t>
      </w:r>
      <w:proofErr w:type="spellEnd"/>
      <w:r w:rsidRPr="00F74653">
        <w:rPr>
          <w:rFonts w:ascii="Bookman Old Style" w:hAnsi="Bookman Old Style"/>
        </w:rPr>
        <w:t xml:space="preserve"> East Constituency, </w:t>
      </w:r>
      <w:proofErr w:type="spellStart"/>
      <w:r w:rsidRPr="00F74653">
        <w:rPr>
          <w:rFonts w:ascii="Bookman Old Style" w:hAnsi="Bookman Old Style"/>
        </w:rPr>
        <w:t>Mazabuka</w:t>
      </w:r>
      <w:proofErr w:type="spellEnd"/>
      <w:r w:rsidRPr="00F74653">
        <w:rPr>
          <w:rFonts w:ascii="Bookman Old Style" w:hAnsi="Bookman Old Style"/>
        </w:rPr>
        <w:t xml:space="preserve"> District and Mr Humphrey </w:t>
      </w:r>
      <w:proofErr w:type="spellStart"/>
      <w:r w:rsidRPr="00F74653">
        <w:rPr>
          <w:rFonts w:ascii="Bookman Old Style" w:hAnsi="Bookman Old Style"/>
        </w:rPr>
        <w:t>Lwisha</w:t>
      </w:r>
      <w:proofErr w:type="spellEnd"/>
      <w:r w:rsidRPr="00F74653">
        <w:rPr>
          <w:rFonts w:ascii="Bookman Old Style" w:hAnsi="Bookman Old Style"/>
        </w:rPr>
        <w:t xml:space="preserve"> of </w:t>
      </w:r>
      <w:proofErr w:type="spellStart"/>
      <w:r w:rsidRPr="00F74653">
        <w:rPr>
          <w:rFonts w:ascii="Bookman Old Style" w:hAnsi="Bookman Old Style"/>
        </w:rPr>
        <w:t>Kaputa</w:t>
      </w:r>
      <w:proofErr w:type="spellEnd"/>
      <w:r w:rsidRPr="00F74653">
        <w:rPr>
          <w:rFonts w:ascii="Bookman Old Style" w:hAnsi="Bookman Old Style"/>
        </w:rPr>
        <w:t xml:space="preserve"> District. These unfortunate incidents underscore the need to uphold the right to life and ensure accountability for all acts of violence. </w:t>
      </w:r>
    </w:p>
    <w:p w14:paraId="43C1B337" w14:textId="6850FE1B" w:rsidR="000556A9" w:rsidRPr="00F74653" w:rsidRDefault="00E55A0C" w:rsidP="00E55A0C">
      <w:pPr>
        <w:pStyle w:val="pdq2pgselectionanchorcontainer"/>
        <w:jc w:val="both"/>
        <w:rPr>
          <w:rFonts w:ascii="Bookman Old Style" w:hAnsi="Bookman Old Style"/>
        </w:rPr>
      </w:pPr>
      <w:r>
        <w:rPr>
          <w:rFonts w:ascii="Bookman Old Style" w:hAnsi="Bookman Old Style"/>
        </w:rPr>
        <w:t>T</w:t>
      </w:r>
      <w:r w:rsidR="000556A9" w:rsidRPr="00F74653">
        <w:rPr>
          <w:rFonts w:ascii="Bookman Old Style" w:hAnsi="Bookman Old Style"/>
        </w:rPr>
        <w:t xml:space="preserve">he Commission extends its condolences to the bereaved families and calls for thorough, impartial and timely investigations to establish the facts and ensure that all those responsible are held accountable in accordance with the law. Every life lost during an electoral period is one life too many. </w:t>
      </w:r>
      <w:r>
        <w:rPr>
          <w:rFonts w:ascii="Bookman Old Style" w:hAnsi="Bookman Old Style"/>
        </w:rPr>
        <w:t>Further, t</w:t>
      </w:r>
      <w:r w:rsidR="000556A9" w:rsidRPr="00F74653">
        <w:rPr>
          <w:rFonts w:ascii="Bookman Old Style" w:hAnsi="Bookman Old Style"/>
        </w:rPr>
        <w:t>he Commission will continue to monitor these incidents and conduct independent investigations in accordance with its constitutional and statutory mandate</w:t>
      </w:r>
      <w:r>
        <w:rPr>
          <w:rFonts w:ascii="Bookman Old Style" w:hAnsi="Bookman Old Style"/>
        </w:rPr>
        <w:t xml:space="preserve">, and </w:t>
      </w:r>
      <w:r w:rsidRPr="00F74653">
        <w:rPr>
          <w:rFonts w:ascii="Bookman Old Style" w:hAnsi="Bookman Old Style"/>
        </w:rPr>
        <w:t>ensure</w:t>
      </w:r>
      <w:r>
        <w:rPr>
          <w:rFonts w:ascii="Bookman Old Style" w:hAnsi="Bookman Old Style"/>
        </w:rPr>
        <w:t xml:space="preserve"> </w:t>
      </w:r>
      <w:r w:rsidRPr="00F74653">
        <w:rPr>
          <w:rFonts w:ascii="Bookman Old Style" w:hAnsi="Bookman Old Style"/>
        </w:rPr>
        <w:t>that appropriate action is taken.</w:t>
      </w:r>
    </w:p>
    <w:p w14:paraId="79051A52" w14:textId="77777777" w:rsidR="000556A9" w:rsidRPr="00F74653" w:rsidRDefault="000556A9" w:rsidP="00C60F3A">
      <w:pPr>
        <w:pStyle w:val="NormalWeb"/>
        <w:jc w:val="both"/>
        <w:rPr>
          <w:rFonts w:ascii="Bookman Old Style" w:hAnsi="Bookman Old Style"/>
        </w:rPr>
      </w:pPr>
      <w:r w:rsidRPr="00F74653">
        <w:rPr>
          <w:rFonts w:ascii="Bookman Old Style" w:hAnsi="Bookman Old Style"/>
        </w:rPr>
        <w:t xml:space="preserve">The Commission also condemns the reported incident in </w:t>
      </w:r>
      <w:proofErr w:type="spellStart"/>
      <w:r w:rsidRPr="00F74653">
        <w:rPr>
          <w:rFonts w:ascii="Bookman Old Style" w:hAnsi="Bookman Old Style"/>
        </w:rPr>
        <w:t>Mtendere</w:t>
      </w:r>
      <w:proofErr w:type="spellEnd"/>
      <w:r w:rsidRPr="00F74653">
        <w:rPr>
          <w:rFonts w:ascii="Bookman Old Style" w:hAnsi="Bookman Old Style"/>
        </w:rPr>
        <w:t xml:space="preserve"> Compound, Lusaka, in which a girl was injured during a police crowd-control operation following a political campaign activity. Reports indicate that the girl was struck on the leg by a pellet discharged from a tear-gas canister during the operation.</w:t>
      </w:r>
    </w:p>
    <w:p w14:paraId="53CFB7B8"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This incident raises serious concerns regarding the protection of children within the electoral environment. Children are among the most vulnerable members of society and have the right to protection from violence, abuse and situations that may place their safety and wellbeing at risk. The Commission is actively investigating this matter and will continue to monitor the situation.</w:t>
      </w:r>
    </w:p>
    <w:p w14:paraId="62C7F877"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As we all play our respective roles during this electoral period, let us remember that we share a collective responsibility to ensure that political activities and security operations safeguard the best interests of the child and protect the rights and dignity of every person.</w:t>
      </w:r>
    </w:p>
    <w:p w14:paraId="2C93D947" w14:textId="77777777" w:rsidR="000556A9" w:rsidRPr="00AF77D9" w:rsidRDefault="000556A9" w:rsidP="00C60F3A">
      <w:pPr>
        <w:spacing w:before="100" w:beforeAutospacing="1" w:after="100" w:afterAutospacing="1" w:line="240" w:lineRule="auto"/>
        <w:jc w:val="both"/>
        <w:rPr>
          <w:rFonts w:ascii="Bookman Old Style" w:eastAsia="Times New Roman" w:hAnsi="Bookman Old Style" w:cs="Times New Roman"/>
          <w:b/>
          <w:sz w:val="24"/>
          <w:szCs w:val="24"/>
        </w:rPr>
      </w:pPr>
      <w:r w:rsidRPr="00AF77D9">
        <w:rPr>
          <w:rFonts w:ascii="Bookman Old Style" w:eastAsia="Times New Roman" w:hAnsi="Bookman Old Style" w:cs="Times New Roman"/>
          <w:b/>
          <w:bCs/>
          <w:sz w:val="24"/>
          <w:szCs w:val="24"/>
          <w:lang w:val="en-US"/>
        </w:rPr>
        <w:t>Ladies and Gentlemen,</w:t>
      </w:r>
    </w:p>
    <w:p w14:paraId="3F034FC9" w14:textId="0EEDF428"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 xml:space="preserve">The Commission is also increasingly concerned about the use of hate speech, </w:t>
      </w:r>
      <w:r w:rsidR="00E55A0C">
        <w:rPr>
          <w:rFonts w:ascii="Bookman Old Style" w:eastAsia="Times New Roman" w:hAnsi="Bookman Old Style" w:cs="Times New Roman"/>
          <w:sz w:val="24"/>
          <w:szCs w:val="24"/>
        </w:rPr>
        <w:t xml:space="preserve">intimidating, threatening and </w:t>
      </w:r>
      <w:r w:rsidRPr="00F74653">
        <w:rPr>
          <w:rFonts w:ascii="Bookman Old Style" w:eastAsia="Times New Roman" w:hAnsi="Bookman Old Style" w:cs="Times New Roman"/>
          <w:sz w:val="24"/>
          <w:szCs w:val="24"/>
        </w:rPr>
        <w:t xml:space="preserve">inflammatory rhetoric and online abuse, particularly </w:t>
      </w:r>
      <w:r w:rsidRPr="00F74653">
        <w:rPr>
          <w:rFonts w:ascii="Bookman Old Style" w:eastAsia="Times New Roman" w:hAnsi="Bookman Old Style" w:cs="Times New Roman"/>
          <w:sz w:val="24"/>
          <w:szCs w:val="24"/>
          <w:lang w:val="en-US"/>
        </w:rPr>
        <w:t>during campaigns and on</w:t>
      </w:r>
      <w:r w:rsidRPr="00F74653">
        <w:rPr>
          <w:rFonts w:ascii="Bookman Old Style" w:eastAsia="Times New Roman" w:hAnsi="Bookman Old Style" w:cs="Times New Roman"/>
          <w:sz w:val="24"/>
          <w:szCs w:val="24"/>
        </w:rPr>
        <w:t xml:space="preserve"> social media platforms. Words have power. The language used during elections can either promote peaceful coexistence or deepen divisions within communities. Every person, without exception, must guard against hate speech.</w:t>
      </w:r>
    </w:p>
    <w:p w14:paraId="7D18A76F" w14:textId="3CB70B79"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lastRenderedPageBreak/>
        <w:t xml:space="preserve">Hate speech threatens the principles of equality, dignity and non-discrimination. Hate speech has the potential to fuel intolerance, create hostility and contribute to an environment where human rights violations may occur. Even though freedom of expression is a fundamental human right, it comes with responsibility. The exercise of this right by every person must always be balanced with respect for the rights and freedoms of others. The Commission </w:t>
      </w:r>
      <w:r w:rsidR="005B0B86">
        <w:rPr>
          <w:rFonts w:ascii="Bookman Old Style" w:eastAsia="Times New Roman" w:hAnsi="Bookman Old Style" w:cs="Times New Roman"/>
          <w:sz w:val="24"/>
          <w:szCs w:val="24"/>
        </w:rPr>
        <w:t>is actively</w:t>
      </w:r>
      <w:r w:rsidRPr="00F74653">
        <w:rPr>
          <w:rFonts w:ascii="Bookman Old Style" w:eastAsia="Times New Roman" w:hAnsi="Bookman Old Style" w:cs="Times New Roman"/>
          <w:sz w:val="24"/>
          <w:szCs w:val="24"/>
        </w:rPr>
        <w:t xml:space="preserve"> monitor</w:t>
      </w:r>
      <w:r w:rsidR="005B0B86">
        <w:rPr>
          <w:rFonts w:ascii="Bookman Old Style" w:eastAsia="Times New Roman" w:hAnsi="Bookman Old Style" w:cs="Times New Roman"/>
          <w:sz w:val="24"/>
          <w:szCs w:val="24"/>
        </w:rPr>
        <w:t>ing the use of</w:t>
      </w:r>
      <w:r w:rsidRPr="00F74653">
        <w:rPr>
          <w:rFonts w:ascii="Bookman Old Style" w:eastAsia="Times New Roman" w:hAnsi="Bookman Old Style" w:cs="Times New Roman"/>
          <w:sz w:val="24"/>
          <w:szCs w:val="24"/>
        </w:rPr>
        <w:t xml:space="preserve"> hate speech and engag</w:t>
      </w:r>
      <w:r w:rsidR="005B0B86">
        <w:rPr>
          <w:rFonts w:ascii="Bookman Old Style" w:eastAsia="Times New Roman" w:hAnsi="Bookman Old Style" w:cs="Times New Roman"/>
          <w:sz w:val="24"/>
          <w:szCs w:val="24"/>
        </w:rPr>
        <w:t>ing</w:t>
      </w:r>
      <w:r w:rsidRPr="00F74653">
        <w:rPr>
          <w:rFonts w:ascii="Bookman Old Style" w:eastAsia="Times New Roman" w:hAnsi="Bookman Old Style" w:cs="Times New Roman"/>
          <w:sz w:val="24"/>
          <w:szCs w:val="24"/>
        </w:rPr>
        <w:t xml:space="preserve"> stakeholders to </w:t>
      </w:r>
      <w:r w:rsidR="005B0B86">
        <w:rPr>
          <w:rFonts w:ascii="Bookman Old Style" w:eastAsia="Times New Roman" w:hAnsi="Bookman Old Style" w:cs="Times New Roman"/>
          <w:sz w:val="24"/>
          <w:szCs w:val="24"/>
        </w:rPr>
        <w:t xml:space="preserve">instead </w:t>
      </w:r>
      <w:r w:rsidRPr="00F74653">
        <w:rPr>
          <w:rFonts w:ascii="Bookman Old Style" w:eastAsia="Times New Roman" w:hAnsi="Bookman Old Style" w:cs="Times New Roman"/>
          <w:sz w:val="24"/>
          <w:szCs w:val="24"/>
        </w:rPr>
        <w:t xml:space="preserve">promote </w:t>
      </w:r>
      <w:r w:rsidR="005B0B86">
        <w:rPr>
          <w:rFonts w:ascii="Bookman Old Style" w:eastAsia="Times New Roman" w:hAnsi="Bookman Old Style" w:cs="Times New Roman"/>
          <w:sz w:val="24"/>
          <w:szCs w:val="24"/>
        </w:rPr>
        <w:t xml:space="preserve">more </w:t>
      </w:r>
      <w:r w:rsidRPr="00F74653">
        <w:rPr>
          <w:rFonts w:ascii="Bookman Old Style" w:eastAsia="Times New Roman" w:hAnsi="Bookman Old Style" w:cs="Times New Roman"/>
          <w:sz w:val="24"/>
          <w:szCs w:val="24"/>
        </w:rPr>
        <w:t>responsible and meaningful public discourse.</w:t>
      </w:r>
    </w:p>
    <w:p w14:paraId="35DC503A" w14:textId="09D631D1" w:rsidR="000556A9" w:rsidRPr="00F74653" w:rsidRDefault="000556A9" w:rsidP="00C60F3A">
      <w:pPr>
        <w:pStyle w:val="NormalWeb"/>
        <w:jc w:val="both"/>
        <w:rPr>
          <w:rFonts w:ascii="Bookman Old Style" w:hAnsi="Bookman Old Style"/>
        </w:rPr>
      </w:pPr>
      <w:r w:rsidRPr="00F74653">
        <w:rPr>
          <w:rFonts w:ascii="Bookman Old Style" w:hAnsi="Bookman Old Style"/>
        </w:rPr>
        <w:t xml:space="preserve">The Commission is </w:t>
      </w:r>
      <w:r w:rsidRPr="00F74653">
        <w:rPr>
          <w:rFonts w:ascii="Bookman Old Style" w:hAnsi="Bookman Old Style"/>
          <w:lang w:val="en-US"/>
        </w:rPr>
        <w:t xml:space="preserve">further </w:t>
      </w:r>
      <w:r w:rsidRPr="00F74653">
        <w:rPr>
          <w:rFonts w:ascii="Bookman Old Style" w:hAnsi="Bookman Old Style"/>
        </w:rPr>
        <w:t xml:space="preserve">concerned by the continued low representation of women across all levels of elective office in the forthcoming General Election. Out of the </w:t>
      </w:r>
      <w:r w:rsidRPr="00F74653">
        <w:rPr>
          <w:rStyle w:val="Strong"/>
          <w:rFonts w:ascii="Bookman Old Style" w:hAnsi="Bookman Old Style"/>
          <w:b w:val="0"/>
        </w:rPr>
        <w:t>973 parliamentary candidates who have successfully been nominated</w:t>
      </w:r>
      <w:r w:rsidRPr="00F74653">
        <w:rPr>
          <w:rFonts w:ascii="Bookman Old Style" w:hAnsi="Bookman Old Style"/>
        </w:rPr>
        <w:t xml:space="preserve">, only </w:t>
      </w:r>
      <w:r w:rsidRPr="00F74653">
        <w:rPr>
          <w:rStyle w:val="Strong"/>
          <w:rFonts w:ascii="Bookman Old Style" w:hAnsi="Bookman Old Style"/>
          <w:b w:val="0"/>
        </w:rPr>
        <w:t>122</w:t>
      </w:r>
      <w:r w:rsidRPr="00F74653">
        <w:rPr>
          <w:rFonts w:ascii="Bookman Old Style" w:hAnsi="Bookman Old Style"/>
        </w:rPr>
        <w:t xml:space="preserve">, are women. This represents a meagre </w:t>
      </w:r>
      <w:r w:rsidRPr="00F74653">
        <w:rPr>
          <w:rStyle w:val="Strong"/>
          <w:rFonts w:ascii="Bookman Old Style" w:hAnsi="Bookman Old Style"/>
          <w:b w:val="0"/>
        </w:rPr>
        <w:t>12.5%</w:t>
      </w:r>
      <w:r w:rsidRPr="00F74653">
        <w:rPr>
          <w:rFonts w:ascii="Bookman Old Style" w:hAnsi="Bookman Old Style"/>
        </w:rPr>
        <w:t xml:space="preserve"> of women</w:t>
      </w:r>
      <w:r w:rsidR="005B0B86">
        <w:rPr>
          <w:rFonts w:ascii="Bookman Old Style" w:hAnsi="Bookman Old Style"/>
        </w:rPr>
        <w:t xml:space="preserve"> participation</w:t>
      </w:r>
      <w:r w:rsidRPr="00F74653">
        <w:rPr>
          <w:rFonts w:ascii="Bookman Old Style" w:hAnsi="Bookman Old Style"/>
        </w:rPr>
        <w:t>.</w:t>
      </w:r>
    </w:p>
    <w:p w14:paraId="5FFE8122" w14:textId="77777777" w:rsidR="000556A9" w:rsidRPr="00F74653" w:rsidRDefault="000556A9" w:rsidP="00C60F3A">
      <w:pPr>
        <w:pStyle w:val="NormalWeb"/>
        <w:jc w:val="both"/>
        <w:rPr>
          <w:rFonts w:ascii="Bookman Old Style" w:hAnsi="Bookman Old Style"/>
        </w:rPr>
      </w:pPr>
      <w:r w:rsidRPr="00F74653">
        <w:rPr>
          <w:rFonts w:ascii="Bookman Old Style" w:hAnsi="Bookman Old Style"/>
        </w:rPr>
        <w:t xml:space="preserve">Out of the </w:t>
      </w:r>
      <w:r w:rsidRPr="00F74653">
        <w:rPr>
          <w:rStyle w:val="Strong"/>
          <w:rFonts w:ascii="Bookman Old Style" w:hAnsi="Bookman Old Style"/>
          <w:b w:val="0"/>
        </w:rPr>
        <w:t>439 successfully nominated mayoral and council chairperson candidates</w:t>
      </w:r>
      <w:r w:rsidRPr="00F74653">
        <w:rPr>
          <w:rFonts w:ascii="Bookman Old Style" w:hAnsi="Bookman Old Style"/>
        </w:rPr>
        <w:t xml:space="preserve">, only </w:t>
      </w:r>
      <w:r w:rsidRPr="00F74653">
        <w:rPr>
          <w:rStyle w:val="Strong"/>
          <w:rFonts w:ascii="Bookman Old Style" w:hAnsi="Bookman Old Style"/>
          <w:b w:val="0"/>
        </w:rPr>
        <w:t>48</w:t>
      </w:r>
      <w:r w:rsidRPr="00F74653">
        <w:rPr>
          <w:rFonts w:ascii="Bookman Old Style" w:hAnsi="Bookman Old Style"/>
        </w:rPr>
        <w:t xml:space="preserve"> are women. At this level, women representation stands at only </w:t>
      </w:r>
      <w:r w:rsidRPr="00F74653">
        <w:rPr>
          <w:rStyle w:val="Strong"/>
          <w:rFonts w:ascii="Bookman Old Style" w:hAnsi="Bookman Old Style"/>
          <w:b w:val="0"/>
        </w:rPr>
        <w:t>10.9%</w:t>
      </w:r>
      <w:r w:rsidRPr="00F74653">
        <w:rPr>
          <w:rFonts w:ascii="Bookman Old Style" w:hAnsi="Bookman Old Style"/>
        </w:rPr>
        <w:t xml:space="preserve">. </w:t>
      </w:r>
    </w:p>
    <w:p w14:paraId="41ACDACE" w14:textId="6F05E8A9" w:rsidR="000556A9" w:rsidRPr="00F74653" w:rsidRDefault="000556A9" w:rsidP="00C60F3A">
      <w:pPr>
        <w:pStyle w:val="NormalWeb"/>
        <w:jc w:val="both"/>
        <w:rPr>
          <w:rFonts w:ascii="Bookman Old Style" w:hAnsi="Bookman Old Style"/>
        </w:rPr>
      </w:pPr>
      <w:r w:rsidRPr="00F74653">
        <w:rPr>
          <w:rFonts w:ascii="Bookman Old Style" w:hAnsi="Bookman Old Style"/>
        </w:rPr>
        <w:t xml:space="preserve">Further, of the total </w:t>
      </w:r>
      <w:r w:rsidRPr="00F74653">
        <w:rPr>
          <w:rStyle w:val="Strong"/>
          <w:rFonts w:ascii="Bookman Old Style" w:hAnsi="Bookman Old Style"/>
          <w:b w:val="0"/>
        </w:rPr>
        <w:t>5,099 successfully nominated ward councillor candidates</w:t>
      </w:r>
      <w:r w:rsidRPr="00F74653">
        <w:rPr>
          <w:rFonts w:ascii="Bookman Old Style" w:hAnsi="Bookman Old Style"/>
        </w:rPr>
        <w:t xml:space="preserve">, only </w:t>
      </w:r>
      <w:r w:rsidRPr="00F74653">
        <w:rPr>
          <w:rStyle w:val="Strong"/>
          <w:rFonts w:ascii="Bookman Old Style" w:hAnsi="Bookman Old Style"/>
          <w:b w:val="0"/>
        </w:rPr>
        <w:t>433</w:t>
      </w:r>
      <w:r w:rsidR="005B0B86">
        <w:rPr>
          <w:rStyle w:val="Strong"/>
          <w:rFonts w:ascii="Bookman Old Style" w:hAnsi="Bookman Old Style"/>
          <w:b w:val="0"/>
        </w:rPr>
        <w:t xml:space="preserve"> are women</w:t>
      </w:r>
      <w:r w:rsidRPr="00F74653">
        <w:rPr>
          <w:rFonts w:ascii="Bookman Old Style" w:hAnsi="Bookman Old Style"/>
        </w:rPr>
        <w:t>.  Th</w:t>
      </w:r>
      <w:r w:rsidR="005B0B86">
        <w:rPr>
          <w:rFonts w:ascii="Bookman Old Style" w:hAnsi="Bookman Old Style"/>
        </w:rPr>
        <w:t>is reflects a</w:t>
      </w:r>
      <w:r w:rsidRPr="00F74653">
        <w:rPr>
          <w:rFonts w:ascii="Bookman Old Style" w:hAnsi="Bookman Old Style"/>
        </w:rPr>
        <w:t xml:space="preserve"> percentage representation of women stands at only </w:t>
      </w:r>
      <w:r w:rsidRPr="00F74653">
        <w:rPr>
          <w:rStyle w:val="Strong"/>
          <w:rFonts w:ascii="Bookman Old Style" w:hAnsi="Bookman Old Style"/>
          <w:b w:val="0"/>
        </w:rPr>
        <w:t>8.5%</w:t>
      </w:r>
      <w:r w:rsidRPr="00F74653">
        <w:rPr>
          <w:rFonts w:ascii="Bookman Old Style" w:hAnsi="Bookman Old Style"/>
        </w:rPr>
        <w:t xml:space="preserve">. </w:t>
      </w:r>
    </w:p>
    <w:p w14:paraId="1F52E86E" w14:textId="77777777" w:rsidR="000556A9" w:rsidRPr="00F74653" w:rsidRDefault="000556A9" w:rsidP="00C60F3A">
      <w:pPr>
        <w:pStyle w:val="NormalWeb"/>
        <w:jc w:val="both"/>
        <w:rPr>
          <w:rFonts w:ascii="Bookman Old Style" w:hAnsi="Bookman Old Style"/>
          <w:lang w:val="en-US"/>
        </w:rPr>
      </w:pPr>
      <w:r w:rsidRPr="00F74653">
        <w:rPr>
          <w:rFonts w:ascii="Bookman Old Style" w:hAnsi="Bookman Old Style"/>
        </w:rPr>
        <w:t>These figures reveal a significantly high rate of gender imbalance. The Commission remains concerned because this situation limits the equal participation of women in public affairs. In this vein, the Commission is urging all stakeholders to take deliberate measures to promote the equal and meaningful participation of women and other vulnerable groups in political and public life. The Commission will continue to monitor women</w:t>
      </w:r>
      <w:r w:rsidRPr="00F74653">
        <w:rPr>
          <w:rFonts w:ascii="Bookman Old Style" w:hAnsi="Bookman Old Style"/>
          <w:lang w:val="en-US"/>
        </w:rPr>
        <w:t>’</w:t>
      </w:r>
      <w:r w:rsidRPr="00F74653">
        <w:rPr>
          <w:rFonts w:ascii="Bookman Old Style" w:hAnsi="Bookman Old Style"/>
        </w:rPr>
        <w:t>s participation throughout the electoral process. The 2025 constitutional introduction of the mixed member proportional representation system should not substitute the responsibility of political parties to adopt candidates from marginalised groups to represent them in elective positions.</w:t>
      </w:r>
    </w:p>
    <w:p w14:paraId="4AAB8466" w14:textId="5DB18484" w:rsidR="000556A9" w:rsidRPr="00F74653" w:rsidRDefault="000556A9" w:rsidP="00C60F3A">
      <w:pPr>
        <w:spacing w:before="100" w:beforeAutospacing="1" w:after="100" w:afterAutospacing="1" w:line="240" w:lineRule="auto"/>
        <w:jc w:val="both"/>
        <w:rPr>
          <w:rFonts w:ascii="Bookman Old Style" w:hAnsi="Bookman Old Style"/>
          <w:sz w:val="24"/>
          <w:szCs w:val="24"/>
        </w:rPr>
      </w:pPr>
      <w:r w:rsidRPr="00F74653">
        <w:rPr>
          <w:rFonts w:ascii="Bookman Old Style" w:hAnsi="Bookman Old Style"/>
          <w:sz w:val="24"/>
          <w:szCs w:val="24"/>
        </w:rPr>
        <w:t>The Commission is equally concerned about the growing spread of misinformation and disinformation, particularly in the digital space. In a democratic society, citizens must have access to accurate, reliable and timely information in order to make informed decisions; and meaningfully participate in the electoral process.</w:t>
      </w:r>
      <w:r w:rsidRPr="00F74653">
        <w:rPr>
          <w:rFonts w:ascii="Bookman Old Style" w:eastAsia="Times New Roman" w:hAnsi="Bookman Old Style" w:cs="Times New Roman"/>
          <w:sz w:val="24"/>
          <w:szCs w:val="24"/>
        </w:rPr>
        <w:t xml:space="preserve"> False and unverified information has the potential to mislead citizens, increase tensions and undermine confidence in democratic institutions. </w:t>
      </w:r>
      <w:r w:rsidRPr="00F74653">
        <w:rPr>
          <w:rFonts w:ascii="Bookman Old Style" w:hAnsi="Bookman Old Style"/>
          <w:sz w:val="24"/>
          <w:szCs w:val="24"/>
        </w:rPr>
        <w:t>The Commission is therefore encouraging all members of the public and stakeholders, including the media, to verify all information before sharing it on media platforms. Correspondingly, those who hold information should proactively disseminate relevant information in the public interest, in line with the provisions of the Access to Information Act</w:t>
      </w:r>
      <w:r w:rsidR="005B0B86">
        <w:rPr>
          <w:rFonts w:ascii="Bookman Old Style" w:hAnsi="Bookman Old Style"/>
          <w:sz w:val="24"/>
          <w:szCs w:val="24"/>
        </w:rPr>
        <w:t xml:space="preserve"> No. 24 of 2023</w:t>
      </w:r>
      <w:r w:rsidRPr="00F74653">
        <w:rPr>
          <w:rFonts w:ascii="Bookman Old Style" w:hAnsi="Bookman Old Style"/>
          <w:sz w:val="24"/>
          <w:szCs w:val="24"/>
        </w:rPr>
        <w:t xml:space="preserve">. </w:t>
      </w:r>
    </w:p>
    <w:p w14:paraId="31031EFD" w14:textId="5D6B6F95"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lastRenderedPageBreak/>
        <w:t>The highlighted developments should remind each one of us that elections are not merely a contest for political office; they are about people, their rights and freedoms; and their aspirations for the future. Ensuring peaceful elections is a shared responsibility among political parties, candidates, supporters, State institutions, civil society organisations, the media and every</w:t>
      </w:r>
      <w:r w:rsidR="005B0B86">
        <w:rPr>
          <w:rFonts w:ascii="Bookman Old Style" w:eastAsia="Times New Roman" w:hAnsi="Bookman Old Style" w:cs="Times New Roman"/>
          <w:sz w:val="24"/>
          <w:szCs w:val="24"/>
        </w:rPr>
        <w:t>one</w:t>
      </w:r>
      <w:r w:rsidRPr="00F74653">
        <w:rPr>
          <w:rFonts w:ascii="Bookman Old Style" w:eastAsia="Times New Roman" w:hAnsi="Bookman Old Style" w:cs="Times New Roman"/>
          <w:sz w:val="24"/>
          <w:szCs w:val="24"/>
        </w:rPr>
        <w:t>.</w:t>
      </w:r>
    </w:p>
    <w:p w14:paraId="5FC892E5"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The Commission appreciates the interventions by relevant institutions, such as the Electoral Commission of Zambia and the Zambia Police Service, in addressing electoral concerns and incidents of violence. However, all actions taken during the electoral period must be timely and in a manner that upholds constitutional rights and freedoms, due process and respect for human dignity.</w:t>
      </w:r>
    </w:p>
    <w:p w14:paraId="2CB843DE" w14:textId="7DA499EA"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The Commission will continue to promote and protect all human rights and fundamental freedoms throughout the electoral cycle</w:t>
      </w:r>
      <w:r w:rsidR="005B0B86">
        <w:rPr>
          <w:rFonts w:ascii="Bookman Old Style" w:eastAsia="Times New Roman" w:hAnsi="Bookman Old Style" w:cs="Times New Roman"/>
          <w:sz w:val="24"/>
          <w:szCs w:val="24"/>
        </w:rPr>
        <w:t>,</w:t>
      </w:r>
      <w:r w:rsidRPr="00F74653">
        <w:rPr>
          <w:rFonts w:ascii="Bookman Old Style" w:eastAsia="Times New Roman" w:hAnsi="Bookman Old Style" w:cs="Times New Roman"/>
          <w:sz w:val="24"/>
          <w:szCs w:val="24"/>
        </w:rPr>
        <w:t xml:space="preserve"> through its Early Warning and Early Response (EWER) mechanism. This will include monitoring the electoral environment, investigating complaints, engaging relevant stakeholders and supporting timely interventions to prevent human rights violations and electoral violence.</w:t>
      </w:r>
    </w:p>
    <w:p w14:paraId="34106BF9" w14:textId="77777777" w:rsidR="000556A9" w:rsidRPr="00F74653" w:rsidRDefault="000556A9"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sz w:val="24"/>
          <w:szCs w:val="24"/>
        </w:rPr>
        <w:t xml:space="preserve">Lastly, and importantly, the Commission urges all citizens to reject violence, respect divergent views and report any threats, intimidation or other human rights violations through its toll-free line, </w:t>
      </w:r>
      <w:r w:rsidRPr="00F74653">
        <w:rPr>
          <w:rFonts w:ascii="Bookman Old Style" w:eastAsia="Times New Roman" w:hAnsi="Bookman Old Style" w:cs="Times New Roman"/>
          <w:b/>
          <w:bCs/>
          <w:sz w:val="24"/>
          <w:szCs w:val="24"/>
        </w:rPr>
        <w:t>8181</w:t>
      </w:r>
      <w:r w:rsidRPr="00F74653">
        <w:rPr>
          <w:rFonts w:ascii="Bookman Old Style" w:eastAsia="Times New Roman" w:hAnsi="Bookman Old Style" w:cs="Times New Roman"/>
          <w:sz w:val="24"/>
          <w:szCs w:val="24"/>
        </w:rPr>
        <w:t>.</w:t>
      </w:r>
    </w:p>
    <w:p w14:paraId="750AFE81" w14:textId="77777777" w:rsidR="000556A9" w:rsidRPr="00F74653" w:rsidRDefault="000556A9" w:rsidP="00C60F3A">
      <w:pPr>
        <w:pStyle w:val="NormalWeb"/>
        <w:jc w:val="both"/>
        <w:rPr>
          <w:rFonts w:ascii="Bookman Old Style" w:hAnsi="Bookman Old Style"/>
          <w:b/>
          <w:lang w:val="en-US"/>
        </w:rPr>
      </w:pPr>
      <w:r w:rsidRPr="00F74653">
        <w:rPr>
          <w:rFonts w:ascii="Bookman Old Style" w:hAnsi="Bookman Old Style"/>
          <w:b/>
          <w:lang w:val="en-US"/>
        </w:rPr>
        <w:t>I thank you all.</w:t>
      </w:r>
    </w:p>
    <w:p w14:paraId="41D28CE8" w14:textId="77777777" w:rsidR="00FC0D30" w:rsidRPr="00F74653" w:rsidRDefault="00FC0D30" w:rsidP="00C60F3A">
      <w:pPr>
        <w:spacing w:before="100" w:beforeAutospacing="1" w:after="100" w:afterAutospacing="1" w:line="240" w:lineRule="auto"/>
        <w:jc w:val="both"/>
        <w:rPr>
          <w:rFonts w:ascii="Bookman Old Style" w:eastAsia="Times New Roman" w:hAnsi="Bookman Old Style" w:cs="Times New Roman"/>
          <w:sz w:val="24"/>
          <w:szCs w:val="24"/>
        </w:rPr>
      </w:pPr>
      <w:r w:rsidRPr="00F74653">
        <w:rPr>
          <w:rFonts w:ascii="Bookman Old Style" w:eastAsia="Times New Roman" w:hAnsi="Bookman Old Style" w:cs="Times New Roman"/>
          <w:bCs/>
          <w:sz w:val="24"/>
          <w:szCs w:val="24"/>
        </w:rPr>
        <w:t>Issued by:</w:t>
      </w:r>
    </w:p>
    <w:p w14:paraId="45746571" w14:textId="77777777" w:rsidR="00FC0D30" w:rsidRPr="00F74653" w:rsidRDefault="00FC0D30" w:rsidP="007052B7">
      <w:pPr>
        <w:spacing w:before="100" w:beforeAutospacing="1" w:after="100" w:afterAutospacing="1" w:line="240" w:lineRule="auto"/>
        <w:rPr>
          <w:rFonts w:ascii="Bookman Old Style" w:eastAsia="Times New Roman" w:hAnsi="Bookman Old Style" w:cs="Times New Roman"/>
          <w:b/>
          <w:sz w:val="24"/>
          <w:szCs w:val="24"/>
        </w:rPr>
      </w:pPr>
      <w:proofErr w:type="spellStart"/>
      <w:r w:rsidRPr="00F74653">
        <w:rPr>
          <w:rFonts w:ascii="Bookman Old Style" w:eastAsia="Times New Roman" w:hAnsi="Bookman Old Style" w:cs="Times New Roman"/>
          <w:b/>
          <w:bCs/>
          <w:sz w:val="24"/>
          <w:szCs w:val="24"/>
        </w:rPr>
        <w:t>Dr.</w:t>
      </w:r>
      <w:proofErr w:type="spellEnd"/>
      <w:r w:rsidRPr="00F74653">
        <w:rPr>
          <w:rFonts w:ascii="Bookman Old Style" w:eastAsia="Times New Roman" w:hAnsi="Bookman Old Style" w:cs="Times New Roman"/>
          <w:b/>
          <w:bCs/>
          <w:sz w:val="24"/>
          <w:szCs w:val="24"/>
        </w:rPr>
        <w:t xml:space="preserve"> Pamela Towela Sambo</w:t>
      </w:r>
      <w:r w:rsidRPr="00F74653">
        <w:rPr>
          <w:rFonts w:ascii="Bookman Old Style" w:eastAsia="Times New Roman" w:hAnsi="Bookman Old Style" w:cs="Times New Roman"/>
          <w:b/>
          <w:sz w:val="24"/>
          <w:szCs w:val="24"/>
        </w:rPr>
        <w:br/>
        <w:t>Chairperson</w:t>
      </w:r>
      <w:r w:rsidRPr="00F74653">
        <w:rPr>
          <w:rFonts w:ascii="Bookman Old Style" w:eastAsia="Times New Roman" w:hAnsi="Bookman Old Style" w:cs="Times New Roman"/>
          <w:b/>
          <w:sz w:val="24"/>
          <w:szCs w:val="24"/>
        </w:rPr>
        <w:br/>
        <w:t>Human Rights Commission</w:t>
      </w:r>
    </w:p>
    <w:p w14:paraId="1D646CA1" w14:textId="77777777" w:rsidR="00EA5255" w:rsidRPr="00F74653" w:rsidRDefault="00EA5255" w:rsidP="00C60F3A">
      <w:pPr>
        <w:jc w:val="both"/>
        <w:rPr>
          <w:rFonts w:ascii="Bookman Old Style" w:hAnsi="Bookman Old Style"/>
          <w:sz w:val="24"/>
          <w:szCs w:val="24"/>
        </w:rPr>
      </w:pPr>
      <w:bookmarkStart w:id="0" w:name="_GoBack"/>
      <w:bookmarkEnd w:id="0"/>
    </w:p>
    <w:sectPr w:rsidR="00EA5255" w:rsidRPr="00F74653">
      <w:footerReference w:type="default" r:id="rId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FEEE901" w16cex:dateUtc="2026-07-30T19: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58C2B" w14:textId="77777777" w:rsidR="004337B0" w:rsidRDefault="004337B0" w:rsidP="00784A42">
      <w:pPr>
        <w:spacing w:after="0" w:line="240" w:lineRule="auto"/>
      </w:pPr>
      <w:r>
        <w:separator/>
      </w:r>
    </w:p>
  </w:endnote>
  <w:endnote w:type="continuationSeparator" w:id="0">
    <w:p w14:paraId="600F45EB" w14:textId="77777777" w:rsidR="004337B0" w:rsidRDefault="004337B0" w:rsidP="00784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806196"/>
      <w:docPartObj>
        <w:docPartGallery w:val="Page Numbers (Bottom of Page)"/>
        <w:docPartUnique/>
      </w:docPartObj>
    </w:sdtPr>
    <w:sdtEndPr>
      <w:rPr>
        <w:noProof/>
      </w:rPr>
    </w:sdtEndPr>
    <w:sdtContent>
      <w:p w14:paraId="3A8F7477" w14:textId="7164177F" w:rsidR="00784A42" w:rsidRDefault="00784A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DA1643" w14:textId="77777777" w:rsidR="00784A42" w:rsidRDefault="00784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E1C75" w14:textId="77777777" w:rsidR="004337B0" w:rsidRDefault="004337B0" w:rsidP="00784A42">
      <w:pPr>
        <w:spacing w:after="0" w:line="240" w:lineRule="auto"/>
      </w:pPr>
      <w:r>
        <w:separator/>
      </w:r>
    </w:p>
  </w:footnote>
  <w:footnote w:type="continuationSeparator" w:id="0">
    <w:p w14:paraId="3171BAD2" w14:textId="77777777" w:rsidR="004337B0" w:rsidRDefault="004337B0" w:rsidP="00784A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E24C2"/>
    <w:multiLevelType w:val="multilevel"/>
    <w:tmpl w:val="CFC65E88"/>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C77DD6"/>
    <w:multiLevelType w:val="multilevel"/>
    <w:tmpl w:val="7BDC30AC"/>
    <w:lvl w:ilvl="0">
      <w:start w:val="1"/>
      <w:numFmt w:val="lowerRoman"/>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E770FB"/>
    <w:multiLevelType w:val="hybridMultilevel"/>
    <w:tmpl w:val="7C2AE97C"/>
    <w:lvl w:ilvl="0" w:tplc="9334BEB4">
      <w:start w:val="9"/>
      <w:numFmt w:val="bullet"/>
      <w:lvlText w:val="•"/>
      <w:lvlJc w:val="left"/>
      <w:pPr>
        <w:ind w:left="1092" w:hanging="732"/>
      </w:pPr>
      <w:rPr>
        <w:rFonts w:ascii="Bookman Old Style" w:eastAsia="Times New Roman" w:hAnsi="Bookman Old Styl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23F51EE"/>
    <w:multiLevelType w:val="hybridMultilevel"/>
    <w:tmpl w:val="C72A2652"/>
    <w:lvl w:ilvl="0" w:tplc="9334BEB4">
      <w:start w:val="9"/>
      <w:numFmt w:val="bullet"/>
      <w:lvlText w:val="•"/>
      <w:lvlJc w:val="left"/>
      <w:pPr>
        <w:ind w:left="1452" w:hanging="732"/>
      </w:pPr>
      <w:rPr>
        <w:rFonts w:ascii="Bookman Old Style" w:eastAsia="Times New Roman" w:hAnsi="Bookman Old Style"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359D1396"/>
    <w:multiLevelType w:val="multilevel"/>
    <w:tmpl w:val="1212A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C54251"/>
    <w:multiLevelType w:val="hybridMultilevel"/>
    <w:tmpl w:val="33721A3A"/>
    <w:lvl w:ilvl="0" w:tplc="B55E6F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7E3ADD"/>
    <w:multiLevelType w:val="multilevel"/>
    <w:tmpl w:val="FB707B22"/>
    <w:lvl w:ilvl="0">
      <w:start w:val="1"/>
      <w:numFmt w:val="lowerRoman"/>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60539"/>
    <w:multiLevelType w:val="hybridMultilevel"/>
    <w:tmpl w:val="36E0A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9756315"/>
    <w:multiLevelType w:val="multilevel"/>
    <w:tmpl w:val="797563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917092"/>
    <w:multiLevelType w:val="hybridMultilevel"/>
    <w:tmpl w:val="BB08B33A"/>
    <w:lvl w:ilvl="0" w:tplc="9334BEB4">
      <w:start w:val="9"/>
      <w:numFmt w:val="bullet"/>
      <w:lvlText w:val="•"/>
      <w:lvlJc w:val="left"/>
      <w:pPr>
        <w:ind w:left="1452" w:hanging="732"/>
      </w:pPr>
      <w:rPr>
        <w:rFonts w:ascii="Bookman Old Style" w:eastAsia="Times New Roman" w:hAnsi="Bookman Old Style"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7"/>
  </w:num>
  <w:num w:numId="4">
    <w:abstractNumId w:val="2"/>
  </w:num>
  <w:num w:numId="5">
    <w:abstractNumId w:val="9"/>
  </w:num>
  <w:num w:numId="6">
    <w:abstractNumId w:val="3"/>
  </w:num>
  <w:num w:numId="7">
    <w:abstractNumId w:val="8"/>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30"/>
    <w:rsid w:val="00053962"/>
    <w:rsid w:val="000556A9"/>
    <w:rsid w:val="000A1F1B"/>
    <w:rsid w:val="00145950"/>
    <w:rsid w:val="00251866"/>
    <w:rsid w:val="002605A9"/>
    <w:rsid w:val="002A4B29"/>
    <w:rsid w:val="002B61EC"/>
    <w:rsid w:val="002E4A20"/>
    <w:rsid w:val="00383E32"/>
    <w:rsid w:val="003865CA"/>
    <w:rsid w:val="003A77AF"/>
    <w:rsid w:val="004161EF"/>
    <w:rsid w:val="004264CC"/>
    <w:rsid w:val="004306FD"/>
    <w:rsid w:val="004337B0"/>
    <w:rsid w:val="00440E7B"/>
    <w:rsid w:val="0045033F"/>
    <w:rsid w:val="00476D01"/>
    <w:rsid w:val="00496D04"/>
    <w:rsid w:val="00516A1B"/>
    <w:rsid w:val="005679E0"/>
    <w:rsid w:val="005B0B86"/>
    <w:rsid w:val="005B4D26"/>
    <w:rsid w:val="005D272D"/>
    <w:rsid w:val="0062733E"/>
    <w:rsid w:val="006924E8"/>
    <w:rsid w:val="006B02DF"/>
    <w:rsid w:val="006D6CEE"/>
    <w:rsid w:val="006E6BBA"/>
    <w:rsid w:val="007052B7"/>
    <w:rsid w:val="00723141"/>
    <w:rsid w:val="00784A42"/>
    <w:rsid w:val="008219E1"/>
    <w:rsid w:val="00822D3D"/>
    <w:rsid w:val="008B23E1"/>
    <w:rsid w:val="008E3219"/>
    <w:rsid w:val="009316E6"/>
    <w:rsid w:val="00951EAD"/>
    <w:rsid w:val="00954F80"/>
    <w:rsid w:val="00961E0A"/>
    <w:rsid w:val="009A531A"/>
    <w:rsid w:val="00A4019E"/>
    <w:rsid w:val="00A54A9C"/>
    <w:rsid w:val="00A635DE"/>
    <w:rsid w:val="00AF77D9"/>
    <w:rsid w:val="00B1331B"/>
    <w:rsid w:val="00B217FA"/>
    <w:rsid w:val="00B50700"/>
    <w:rsid w:val="00C60F3A"/>
    <w:rsid w:val="00CF1B66"/>
    <w:rsid w:val="00D92366"/>
    <w:rsid w:val="00DB6FE6"/>
    <w:rsid w:val="00DC7B43"/>
    <w:rsid w:val="00DE75B9"/>
    <w:rsid w:val="00E55A0C"/>
    <w:rsid w:val="00E852B2"/>
    <w:rsid w:val="00EA5255"/>
    <w:rsid w:val="00EA52BA"/>
    <w:rsid w:val="00ED7730"/>
    <w:rsid w:val="00F74653"/>
    <w:rsid w:val="00FA05E6"/>
    <w:rsid w:val="00FB1241"/>
    <w:rsid w:val="00FC0D3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71E3"/>
  <w15:chartTrackingRefBased/>
  <w15:docId w15:val="{54222A5B-F92F-41A5-B7E2-769F8BA9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0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0D30"/>
    <w:rPr>
      <w:b/>
      <w:bCs/>
    </w:rPr>
  </w:style>
  <w:style w:type="paragraph" w:customStyle="1" w:styleId="isselectedend">
    <w:name w:val="isselectedend"/>
    <w:basedOn w:val="Normal"/>
    <w:rsid w:val="00FC0D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8E321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556A9"/>
    <w:rPr>
      <w:sz w:val="16"/>
      <w:szCs w:val="16"/>
    </w:rPr>
  </w:style>
  <w:style w:type="paragraph" w:styleId="CommentText">
    <w:name w:val="annotation text"/>
    <w:basedOn w:val="Normal"/>
    <w:link w:val="CommentTextChar"/>
    <w:uiPriority w:val="99"/>
    <w:semiHidden/>
    <w:unhideWhenUsed/>
    <w:rsid w:val="000556A9"/>
    <w:pPr>
      <w:spacing w:line="240" w:lineRule="auto"/>
    </w:pPr>
    <w:rPr>
      <w:sz w:val="20"/>
      <w:szCs w:val="20"/>
    </w:rPr>
  </w:style>
  <w:style w:type="character" w:customStyle="1" w:styleId="CommentTextChar">
    <w:name w:val="Comment Text Char"/>
    <w:basedOn w:val="DefaultParagraphFont"/>
    <w:link w:val="CommentText"/>
    <w:uiPriority w:val="99"/>
    <w:semiHidden/>
    <w:rsid w:val="000556A9"/>
    <w:rPr>
      <w:sz w:val="20"/>
      <w:szCs w:val="20"/>
      <w:lang w:val="en-GB"/>
    </w:rPr>
  </w:style>
  <w:style w:type="paragraph" w:styleId="BalloonText">
    <w:name w:val="Balloon Text"/>
    <w:basedOn w:val="Normal"/>
    <w:link w:val="BalloonTextChar"/>
    <w:uiPriority w:val="99"/>
    <w:semiHidden/>
    <w:unhideWhenUsed/>
    <w:rsid w:val="000556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6A9"/>
    <w:rPr>
      <w:rFonts w:ascii="Segoe UI" w:hAnsi="Segoe UI" w:cs="Segoe UI"/>
      <w:sz w:val="18"/>
      <w:szCs w:val="18"/>
    </w:rPr>
  </w:style>
  <w:style w:type="paragraph" w:styleId="Header">
    <w:name w:val="header"/>
    <w:basedOn w:val="Normal"/>
    <w:link w:val="HeaderChar"/>
    <w:uiPriority w:val="99"/>
    <w:unhideWhenUsed/>
    <w:rsid w:val="00784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A42"/>
  </w:style>
  <w:style w:type="paragraph" w:styleId="Footer">
    <w:name w:val="footer"/>
    <w:basedOn w:val="Normal"/>
    <w:link w:val="FooterChar"/>
    <w:uiPriority w:val="99"/>
    <w:unhideWhenUsed/>
    <w:rsid w:val="00784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A42"/>
  </w:style>
  <w:style w:type="paragraph" w:styleId="ListParagraph">
    <w:name w:val="List Paragraph"/>
    <w:basedOn w:val="Normal"/>
    <w:uiPriority w:val="34"/>
    <w:qFormat/>
    <w:rsid w:val="00EA52BA"/>
    <w:pPr>
      <w:spacing w:after="200" w:line="276" w:lineRule="auto"/>
      <w:ind w:left="720"/>
      <w:contextualSpacing/>
    </w:pPr>
    <w:rPr>
      <w:lang w:val="en-ZA"/>
    </w:rPr>
  </w:style>
  <w:style w:type="paragraph" w:styleId="CommentSubject">
    <w:name w:val="annotation subject"/>
    <w:basedOn w:val="CommentText"/>
    <w:next w:val="CommentText"/>
    <w:link w:val="CommentSubjectChar"/>
    <w:uiPriority w:val="99"/>
    <w:semiHidden/>
    <w:unhideWhenUsed/>
    <w:rsid w:val="00E852B2"/>
    <w:rPr>
      <w:b/>
      <w:bCs/>
    </w:rPr>
  </w:style>
  <w:style w:type="character" w:customStyle="1" w:styleId="CommentSubjectChar">
    <w:name w:val="Comment Subject Char"/>
    <w:basedOn w:val="CommentTextChar"/>
    <w:link w:val="CommentSubject"/>
    <w:uiPriority w:val="99"/>
    <w:semiHidden/>
    <w:rsid w:val="00E852B2"/>
    <w:rPr>
      <w:b/>
      <w:bCs/>
      <w:sz w:val="20"/>
      <w:szCs w:val="20"/>
      <w:lang w:val="en-GB"/>
    </w:rPr>
  </w:style>
  <w:style w:type="paragraph" w:styleId="Revision">
    <w:name w:val="Revision"/>
    <w:hidden/>
    <w:uiPriority w:val="99"/>
    <w:semiHidden/>
    <w:rsid w:val="00440E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7618">
      <w:bodyDiv w:val="1"/>
      <w:marLeft w:val="0"/>
      <w:marRight w:val="0"/>
      <w:marTop w:val="0"/>
      <w:marBottom w:val="0"/>
      <w:divBdr>
        <w:top w:val="none" w:sz="0" w:space="0" w:color="auto"/>
        <w:left w:val="none" w:sz="0" w:space="0" w:color="auto"/>
        <w:bottom w:val="none" w:sz="0" w:space="0" w:color="auto"/>
        <w:right w:val="none" w:sz="0" w:space="0" w:color="auto"/>
      </w:divBdr>
    </w:div>
    <w:div w:id="600264624">
      <w:bodyDiv w:val="1"/>
      <w:marLeft w:val="0"/>
      <w:marRight w:val="0"/>
      <w:marTop w:val="0"/>
      <w:marBottom w:val="0"/>
      <w:divBdr>
        <w:top w:val="none" w:sz="0" w:space="0" w:color="auto"/>
        <w:left w:val="none" w:sz="0" w:space="0" w:color="auto"/>
        <w:bottom w:val="none" w:sz="0" w:space="0" w:color="auto"/>
        <w:right w:val="none" w:sz="0" w:space="0" w:color="auto"/>
      </w:divBdr>
    </w:div>
    <w:div w:id="718476378">
      <w:bodyDiv w:val="1"/>
      <w:marLeft w:val="0"/>
      <w:marRight w:val="0"/>
      <w:marTop w:val="0"/>
      <w:marBottom w:val="0"/>
      <w:divBdr>
        <w:top w:val="none" w:sz="0" w:space="0" w:color="auto"/>
        <w:left w:val="none" w:sz="0" w:space="0" w:color="auto"/>
        <w:bottom w:val="none" w:sz="0" w:space="0" w:color="auto"/>
        <w:right w:val="none" w:sz="0" w:space="0" w:color="auto"/>
      </w:divBdr>
      <w:divsChild>
        <w:div w:id="1060205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311983">
      <w:bodyDiv w:val="1"/>
      <w:marLeft w:val="0"/>
      <w:marRight w:val="0"/>
      <w:marTop w:val="0"/>
      <w:marBottom w:val="0"/>
      <w:divBdr>
        <w:top w:val="none" w:sz="0" w:space="0" w:color="auto"/>
        <w:left w:val="none" w:sz="0" w:space="0" w:color="auto"/>
        <w:bottom w:val="none" w:sz="0" w:space="0" w:color="auto"/>
        <w:right w:val="none" w:sz="0" w:space="0" w:color="auto"/>
      </w:divBdr>
    </w:div>
    <w:div w:id="914559302">
      <w:bodyDiv w:val="1"/>
      <w:marLeft w:val="0"/>
      <w:marRight w:val="0"/>
      <w:marTop w:val="0"/>
      <w:marBottom w:val="0"/>
      <w:divBdr>
        <w:top w:val="none" w:sz="0" w:space="0" w:color="auto"/>
        <w:left w:val="none" w:sz="0" w:space="0" w:color="auto"/>
        <w:bottom w:val="none" w:sz="0" w:space="0" w:color="auto"/>
        <w:right w:val="none" w:sz="0" w:space="0" w:color="auto"/>
      </w:divBdr>
    </w:div>
    <w:div w:id="1073167151">
      <w:bodyDiv w:val="1"/>
      <w:marLeft w:val="0"/>
      <w:marRight w:val="0"/>
      <w:marTop w:val="0"/>
      <w:marBottom w:val="0"/>
      <w:divBdr>
        <w:top w:val="none" w:sz="0" w:space="0" w:color="auto"/>
        <w:left w:val="none" w:sz="0" w:space="0" w:color="auto"/>
        <w:bottom w:val="none" w:sz="0" w:space="0" w:color="auto"/>
        <w:right w:val="none" w:sz="0" w:space="0" w:color="auto"/>
      </w:divBdr>
    </w:div>
    <w:div w:id="1192185442">
      <w:bodyDiv w:val="1"/>
      <w:marLeft w:val="0"/>
      <w:marRight w:val="0"/>
      <w:marTop w:val="0"/>
      <w:marBottom w:val="0"/>
      <w:divBdr>
        <w:top w:val="none" w:sz="0" w:space="0" w:color="auto"/>
        <w:left w:val="none" w:sz="0" w:space="0" w:color="auto"/>
        <w:bottom w:val="none" w:sz="0" w:space="0" w:color="auto"/>
        <w:right w:val="none" w:sz="0" w:space="0" w:color="auto"/>
      </w:divBdr>
    </w:div>
    <w:div w:id="1626741108">
      <w:bodyDiv w:val="1"/>
      <w:marLeft w:val="0"/>
      <w:marRight w:val="0"/>
      <w:marTop w:val="0"/>
      <w:marBottom w:val="0"/>
      <w:divBdr>
        <w:top w:val="none" w:sz="0" w:space="0" w:color="auto"/>
        <w:left w:val="none" w:sz="0" w:space="0" w:color="auto"/>
        <w:bottom w:val="none" w:sz="0" w:space="0" w:color="auto"/>
        <w:right w:val="none" w:sz="0" w:space="0" w:color="auto"/>
      </w:divBdr>
      <w:divsChild>
        <w:div w:id="17540861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725621">
      <w:bodyDiv w:val="1"/>
      <w:marLeft w:val="0"/>
      <w:marRight w:val="0"/>
      <w:marTop w:val="0"/>
      <w:marBottom w:val="0"/>
      <w:divBdr>
        <w:top w:val="none" w:sz="0" w:space="0" w:color="auto"/>
        <w:left w:val="none" w:sz="0" w:space="0" w:color="auto"/>
        <w:bottom w:val="none" w:sz="0" w:space="0" w:color="auto"/>
        <w:right w:val="none" w:sz="0" w:space="0" w:color="auto"/>
      </w:divBdr>
    </w:div>
    <w:div w:id="179512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2453</Words>
  <Characters>13987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Saboi Songiso</dc:creator>
  <cp:keywords/>
  <dc:description/>
  <cp:lastModifiedBy>Pamela Towela Sambo</cp:lastModifiedBy>
  <cp:revision>2</cp:revision>
  <dcterms:created xsi:type="dcterms:W3CDTF">2026-07-31T04:17:00Z</dcterms:created>
  <dcterms:modified xsi:type="dcterms:W3CDTF">2026-07-31T04:17:00Z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7b002909-f488-4e7e-b69a-ab8ebe3b33b9</vt:lpwstr>
  </property>
</Properties>
</file>